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C427A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6A2EFF16" w14:textId="77777777" w:rsidR="000924D0" w:rsidRDefault="000924D0" w:rsidP="00B55B58">
      <w:pPr>
        <w:pStyle w:val="Corpsdetexte"/>
      </w:pPr>
    </w:p>
    <w:p w14:paraId="27FCD4BF" w14:textId="56BAB171" w:rsidR="006D39BE" w:rsidRDefault="00AE5CD1" w:rsidP="00B55B58">
      <w:pPr>
        <w:pStyle w:val="Titrecentral"/>
      </w:pPr>
      <w:r>
        <w:t xml:space="preserve">FICHE ACTION </w:t>
      </w:r>
      <w:r w:rsidR="002E0B26">
        <w:t>CANICULE</w:t>
      </w:r>
    </w:p>
    <w:p w14:paraId="297A707D" w14:textId="77777777" w:rsidR="006D39BE" w:rsidRPr="006D39BE" w:rsidRDefault="006D39BE" w:rsidP="006D39BE">
      <w:pPr>
        <w:pStyle w:val="Titrecentral"/>
      </w:pPr>
      <w:r>
        <w:t>APPARTEMENTS DE COORDINATION THERAPEUTIQUE (ACT)</w:t>
      </w:r>
    </w:p>
    <w:p w14:paraId="593A41BA" w14:textId="77777777" w:rsidR="006D39BE" w:rsidRDefault="009C1E40" w:rsidP="006D39BE">
      <w:pPr>
        <w:pStyle w:val="Titrecentral"/>
      </w:pPr>
      <w:r>
        <w:t>LITS HALTE SOINS SANTÉ</w:t>
      </w:r>
      <w:r w:rsidR="006D39BE">
        <w:t xml:space="preserve"> (LHSS) LITS D’ACCUEIL MEDICALISES (LAM), </w:t>
      </w:r>
    </w:p>
    <w:p w14:paraId="2AF86000" w14:textId="77777777" w:rsidR="006D39BE" w:rsidRDefault="006D39BE" w:rsidP="006D39BE">
      <w:pPr>
        <w:pStyle w:val="Titrecentral"/>
      </w:pPr>
      <w:r w:rsidRPr="006D39BE">
        <w:t>CENTRE DE SOINS, D’ACCOMPAGNEMENT ET DE PREVENTION EN ADDICTOL</w:t>
      </w:r>
      <w:r>
        <w:t>OGIE (CSAPA) avec hébergement thérapeutique (</w:t>
      </w:r>
      <w:r w:rsidRPr="006D39BE">
        <w:t>appartements relais, centres thérapeutiques résidentiels, communauté thérapeutique)</w:t>
      </w:r>
      <w:r>
        <w:t xml:space="preserve"> </w:t>
      </w:r>
    </w:p>
    <w:p w14:paraId="1587BB44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1327DC53" w14:textId="77777777" w:rsidR="000924D0" w:rsidRDefault="000924D0" w:rsidP="00B55B58">
      <w:pPr>
        <w:pStyle w:val="Signat"/>
      </w:pPr>
    </w:p>
    <w:tbl>
      <w:tblPr>
        <w:tblW w:w="102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6"/>
      </w:tblGrid>
      <w:tr w:rsidR="009C1E40" w:rsidRPr="009C1E40" w14:paraId="49E2C8A7" w14:textId="77777777" w:rsidTr="00AD2012">
        <w:trPr>
          <w:trHeight w:val="216"/>
        </w:trPr>
        <w:tc>
          <w:tcPr>
            <w:tcW w:w="10246" w:type="dxa"/>
            <w:shd w:val="clear" w:color="auto" w:fill="00B0F0"/>
          </w:tcPr>
          <w:p w14:paraId="7B3C0D9A" w14:textId="77777777" w:rsidR="009C1E40" w:rsidRPr="009C1E40" w:rsidRDefault="00B46FB9" w:rsidP="009C1E40">
            <w:pPr>
              <w:pStyle w:val="Corpsdetexte"/>
              <w:rPr>
                <w:b/>
              </w:rPr>
            </w:pPr>
            <w:r>
              <w:rPr>
                <w:b/>
              </w:rPr>
              <w:t>PRINCIPES GENERAUX</w:t>
            </w:r>
          </w:p>
        </w:tc>
      </w:tr>
      <w:tr w:rsidR="009C1E40" w:rsidRPr="00B522F3" w14:paraId="4C3BF270" w14:textId="77777777" w:rsidTr="009C1E40">
        <w:trPr>
          <w:trHeight w:val="1537"/>
        </w:trPr>
        <w:tc>
          <w:tcPr>
            <w:tcW w:w="10246" w:type="dxa"/>
          </w:tcPr>
          <w:p w14:paraId="1C388450" w14:textId="77777777" w:rsidR="009C1E40" w:rsidRPr="009C1E40" w:rsidRDefault="009C1E40" w:rsidP="006D39BE">
            <w:pPr>
              <w:pStyle w:val="Corpsdetexte"/>
              <w:jc w:val="both"/>
              <w:rPr>
                <w:b/>
              </w:rPr>
            </w:pPr>
            <w:r w:rsidRPr="009C1E40">
              <w:rPr>
                <w:b/>
              </w:rPr>
              <w:t>Matériels</w:t>
            </w:r>
          </w:p>
          <w:p w14:paraId="3F38BC24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vérifier qu’il est possible d’occulter les fenêtres (volets, stores, rideaux),</w:t>
            </w:r>
          </w:p>
          <w:p w14:paraId="7E968B10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vérifier qu’il est possible d’occulter les surfaces vitrées des espaces collectifs,</w:t>
            </w:r>
          </w:p>
          <w:p w14:paraId="7061EAC8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envisager des dispositifs pour arroser les façades les plus exposées,</w:t>
            </w:r>
          </w:p>
          <w:p w14:paraId="7778F22A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repérer les pièces les plus difficiles à rafraîchir,</w:t>
            </w:r>
          </w:p>
          <w:p w14:paraId="75EF2AAB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 xml:space="preserve">- s’assurer qu’il existe une pièce pouvant rester fraîche pour accueillir les personnes hébergées, </w:t>
            </w:r>
          </w:p>
          <w:p w14:paraId="7344D43C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faire vérifier le fonctionnement du système de climatisation ou de rafraîchissement d’air s’il existe,</w:t>
            </w:r>
          </w:p>
          <w:p w14:paraId="328EF437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 xml:space="preserve">- rechercher le mode de fonctionnement (entrée et sortie) faisant entrer le moins de chaleur possible dans le bâtiment, </w:t>
            </w:r>
          </w:p>
          <w:p w14:paraId="313BA38B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vérifier qu’il existe des thermomètres permettant de mesurer la température des pièces,</w:t>
            </w:r>
          </w:p>
          <w:p w14:paraId="57FDE2DD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 xml:space="preserve">- vérifier qu’il existe un certain nombre de ventilateurs, </w:t>
            </w:r>
          </w:p>
          <w:p w14:paraId="41F50A2F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contrôler les modalités d’approvisionnement et de stockage des établissements en eau et en glace,</w:t>
            </w:r>
          </w:p>
          <w:p w14:paraId="70947501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contrôler les possibilités de distribution de boissons fraîches (verres, gobelets, carafes...) et l’hydratation des personnes</w:t>
            </w:r>
          </w:p>
          <w:p w14:paraId="0A598F98" w14:textId="77777777" w:rsidR="009C1E40" w:rsidRPr="009C1E40" w:rsidRDefault="009C1E40" w:rsidP="006D39BE">
            <w:pPr>
              <w:pStyle w:val="Corpsdetexte"/>
              <w:jc w:val="both"/>
              <w:rPr>
                <w:b/>
              </w:rPr>
            </w:pPr>
            <w:r w:rsidRPr="009C1E40">
              <w:rPr>
                <w:b/>
              </w:rPr>
              <w:t>Fonctionnement</w:t>
            </w:r>
          </w:p>
          <w:p w14:paraId="28E660CF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élaborer les protocoles de surveillance et de prises en charge en cas de fortes chaleurs,</w:t>
            </w:r>
          </w:p>
          <w:p w14:paraId="291CAD95" w14:textId="77777777" w:rsidR="006D39BE" w:rsidRPr="009C1E40" w:rsidRDefault="009C1E40" w:rsidP="006D39BE">
            <w:pPr>
              <w:pStyle w:val="Corpsdetexte"/>
              <w:jc w:val="both"/>
            </w:pPr>
            <w:r w:rsidRPr="009C1E40">
              <w:t>- vérifier que des vêtements adéquats pour l’été sont disponibles</w:t>
            </w:r>
          </w:p>
        </w:tc>
      </w:tr>
      <w:tr w:rsidR="009C1E40" w:rsidRPr="00B522F3" w14:paraId="05C5C78E" w14:textId="77777777" w:rsidTr="00AD2012">
        <w:trPr>
          <w:trHeight w:val="184"/>
        </w:trPr>
        <w:tc>
          <w:tcPr>
            <w:tcW w:w="10246" w:type="dxa"/>
            <w:shd w:val="clear" w:color="auto" w:fill="00B050"/>
          </w:tcPr>
          <w:p w14:paraId="32D08D34" w14:textId="77777777" w:rsidR="009C1E40" w:rsidRPr="009C1E40" w:rsidRDefault="009C1E40" w:rsidP="009C1E40">
            <w:pPr>
              <w:pStyle w:val="Corpsdetexte"/>
              <w:rPr>
                <w:b/>
              </w:rPr>
            </w:pPr>
            <w:r>
              <w:rPr>
                <w:b/>
              </w:rPr>
              <w:t>VIGILANCE VERTE</w:t>
            </w:r>
            <w:r w:rsidRPr="00AE5CD1">
              <w:rPr>
                <w:b/>
              </w:rPr>
              <w:t> : VEILLE SAISONNIERE et VIGILANCE JAUNE : AVERTISSEMENT CHALEUR</w:t>
            </w:r>
          </w:p>
        </w:tc>
      </w:tr>
      <w:tr w:rsidR="009C1E40" w:rsidRPr="00B522F3" w14:paraId="2A9BA510" w14:textId="77777777" w:rsidTr="008726A2">
        <w:trPr>
          <w:trHeight w:val="4109"/>
        </w:trPr>
        <w:tc>
          <w:tcPr>
            <w:tcW w:w="10246" w:type="dxa"/>
          </w:tcPr>
          <w:p w14:paraId="0F8546E4" w14:textId="77777777" w:rsidR="009C1E40" w:rsidRPr="009C1E40" w:rsidRDefault="009C1E40" w:rsidP="006D39BE">
            <w:pPr>
              <w:pStyle w:val="Corpsdetexte"/>
              <w:jc w:val="both"/>
              <w:rPr>
                <w:b/>
              </w:rPr>
            </w:pPr>
            <w:r w:rsidRPr="009C1E40">
              <w:rPr>
                <w:b/>
              </w:rPr>
              <w:t>Organisation, fonctionnement et matériel</w:t>
            </w:r>
          </w:p>
          <w:p w14:paraId="06FD4411" w14:textId="77777777" w:rsidR="008726A2" w:rsidRPr="008726A2" w:rsidRDefault="009C1E40" w:rsidP="006D39BE">
            <w:pPr>
              <w:pStyle w:val="Corpsdetexte"/>
              <w:jc w:val="both"/>
            </w:pPr>
            <w:r w:rsidRPr="009C1E40">
              <w:t xml:space="preserve">- </w:t>
            </w:r>
            <w:r w:rsidR="008726A2" w:rsidRPr="008726A2">
              <w:t>Prendre toutes les dispositions pour abaisser la température dans les locaux (volets fermés, aération aux heures les plus fraîches</w:t>
            </w:r>
            <w:r w:rsidR="008726A2">
              <w:t>, etc.</w:t>
            </w:r>
            <w:r w:rsidR="008726A2" w:rsidRPr="008726A2">
              <w:t>)</w:t>
            </w:r>
          </w:p>
          <w:p w14:paraId="3D28EC3C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répartir les ventilateurs et favoriser l’occupation des pièces rafraîchies,</w:t>
            </w:r>
          </w:p>
          <w:p w14:paraId="65FB8C24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adapter les menus (apportant de l’eau, repas froids),</w:t>
            </w:r>
          </w:p>
          <w:p w14:paraId="7E3C32D1" w14:textId="06EF5283" w:rsidR="009C1E40" w:rsidRDefault="009C1E40" w:rsidP="006D39BE">
            <w:pPr>
              <w:pStyle w:val="Corpsdetexte"/>
              <w:jc w:val="both"/>
            </w:pPr>
            <w:r w:rsidRPr="009C1E40">
              <w:t>- surveiller les personnes hébergées et particulièrement les signes cliniques suivants : maux de tête, sensation de fatigue importante, faiblesse, vertiges, malais</w:t>
            </w:r>
            <w:r w:rsidR="00B522F3">
              <w:t>es, désorientation ;</w:t>
            </w:r>
          </w:p>
          <w:p w14:paraId="263D1627" w14:textId="64297CD2" w:rsidR="00B522F3" w:rsidRPr="009C1E40" w:rsidRDefault="00B522F3" w:rsidP="006D39BE">
            <w:pPr>
              <w:pStyle w:val="Corpsdetexte"/>
              <w:jc w:val="both"/>
            </w:pPr>
            <w:r>
              <w:t>- consulter régulièrement les prévisions météorologiques pour anticiper les mesures à prendre.</w:t>
            </w:r>
            <w:bookmarkStart w:id="0" w:name="_GoBack"/>
            <w:bookmarkEnd w:id="0"/>
          </w:p>
          <w:p w14:paraId="667671C9" w14:textId="77777777" w:rsidR="009C1E40" w:rsidRPr="009C1E40" w:rsidRDefault="009C1E40" w:rsidP="006D39BE">
            <w:pPr>
              <w:pStyle w:val="Corpsdetexte"/>
              <w:jc w:val="both"/>
              <w:rPr>
                <w:b/>
              </w:rPr>
            </w:pPr>
            <w:r w:rsidRPr="009C1E40">
              <w:rPr>
                <w:b/>
              </w:rPr>
              <w:t>Conseils individuels</w:t>
            </w:r>
          </w:p>
          <w:p w14:paraId="68F82194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planifier les consommations d’eau à intervalles réguliers notamment en listant les personnes ne pouvant s’hydrater seules ; faire boire ou hydrater, au moins un litre et demi par jour, avec soupes, potages, laitages, tisanes (même chauds), stimuler la consommation d’eau des autres,</w:t>
            </w:r>
          </w:p>
          <w:p w14:paraId="122D2ABF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éviter les boissons à forte teneur en caféine (café, thé, colas) ou très sucrées (sodas),</w:t>
            </w:r>
          </w:p>
          <w:p w14:paraId="69CD9E27" w14:textId="77777777" w:rsidR="009C1E40" w:rsidRPr="009C1E40" w:rsidRDefault="009C1E40" w:rsidP="006D39BE">
            <w:pPr>
              <w:pStyle w:val="Corpsdetexte"/>
              <w:jc w:val="both"/>
            </w:pPr>
            <w:r w:rsidRPr="009C1E40">
              <w:t>- recommander le port de vêtements amples et légers, si nécessaire en mettre à disposition,</w:t>
            </w:r>
          </w:p>
          <w:p w14:paraId="103923ED" w14:textId="77777777" w:rsidR="009C1E40" w:rsidRDefault="009C1E40" w:rsidP="006D39BE">
            <w:pPr>
              <w:pStyle w:val="Corpsdetexte"/>
              <w:jc w:val="both"/>
            </w:pPr>
            <w:r w:rsidRPr="009C1E40">
              <w:t>- faciliter et recommander les douches. Pour les personnes à mobilité réduite proposer des brumisations d’eau sur le corps.</w:t>
            </w:r>
          </w:p>
          <w:p w14:paraId="7B23E1D5" w14:textId="77777777" w:rsidR="006D39BE" w:rsidRPr="009C1E40" w:rsidRDefault="008726A2" w:rsidP="006D39BE">
            <w:pPr>
              <w:pStyle w:val="Corpsdetexte"/>
              <w:jc w:val="both"/>
            </w:pPr>
            <w:r>
              <w:t>-sensibiliser les personnes hébergées aux gestes de prévention des pathologies liées à la chaleur.</w:t>
            </w:r>
          </w:p>
        </w:tc>
      </w:tr>
      <w:tr w:rsidR="009C1E40" w:rsidRPr="00B522F3" w14:paraId="26BF7A01" w14:textId="77777777" w:rsidTr="00AD2012">
        <w:trPr>
          <w:trHeight w:val="181"/>
        </w:trPr>
        <w:tc>
          <w:tcPr>
            <w:tcW w:w="10246" w:type="dxa"/>
            <w:shd w:val="clear" w:color="auto" w:fill="FFC000"/>
          </w:tcPr>
          <w:p w14:paraId="301813E1" w14:textId="457AF3BC" w:rsidR="009C1E40" w:rsidRPr="009C1E40" w:rsidRDefault="009C1E40" w:rsidP="0080446A">
            <w:pPr>
              <w:pStyle w:val="Corpsdetexte"/>
              <w:rPr>
                <w:b/>
              </w:rPr>
            </w:pPr>
            <w:r>
              <w:rPr>
                <w:b/>
              </w:rPr>
              <w:t>VIGILANCE ORANGE</w:t>
            </w:r>
            <w:r w:rsidRPr="00AE5CD1">
              <w:rPr>
                <w:b/>
              </w:rPr>
              <w:t> : CANICULE</w:t>
            </w:r>
            <w:r w:rsidR="008726A2">
              <w:rPr>
                <w:b/>
              </w:rPr>
              <w:t xml:space="preserve"> et VIGILANCE ROUGE</w:t>
            </w:r>
            <w:r w:rsidR="008726A2" w:rsidRPr="00AE5CD1">
              <w:rPr>
                <w:b/>
              </w:rPr>
              <w:t xml:space="preserve"> : </w:t>
            </w:r>
            <w:r w:rsidR="008726A2">
              <w:rPr>
                <w:b/>
              </w:rPr>
              <w:t>CANICULE EXTRÊME</w:t>
            </w:r>
          </w:p>
        </w:tc>
      </w:tr>
      <w:tr w:rsidR="009C1E40" w:rsidRPr="00B522F3" w14:paraId="27D55900" w14:textId="77777777" w:rsidTr="009C1E40">
        <w:trPr>
          <w:trHeight w:val="257"/>
        </w:trPr>
        <w:tc>
          <w:tcPr>
            <w:tcW w:w="10246" w:type="dxa"/>
          </w:tcPr>
          <w:p w14:paraId="1AB834FC" w14:textId="77777777" w:rsidR="009C1E40" w:rsidRPr="009C1E40" w:rsidRDefault="009C1E40" w:rsidP="008726A2">
            <w:pPr>
              <w:pStyle w:val="Corpsdetexte"/>
            </w:pPr>
            <w:r w:rsidRPr="009C1E40">
              <w:t>-   Poursuivre</w:t>
            </w:r>
            <w:r>
              <w:t xml:space="preserve"> et renforcer</w:t>
            </w:r>
            <w:r w:rsidRPr="009C1E40">
              <w:t xml:space="preserve"> les actions des </w:t>
            </w:r>
            <w:r w:rsidR="008726A2">
              <w:t>vigilances verte et jaune</w:t>
            </w:r>
          </w:p>
        </w:tc>
      </w:tr>
      <w:tr w:rsidR="009C1E40" w:rsidRPr="00B522F3" w14:paraId="0699478A" w14:textId="77777777" w:rsidTr="00AD2012">
        <w:trPr>
          <w:trHeight w:val="257"/>
        </w:trPr>
        <w:tc>
          <w:tcPr>
            <w:tcW w:w="10246" w:type="dxa"/>
            <w:shd w:val="clear" w:color="auto" w:fill="D9D9D9" w:themeFill="background1" w:themeFillShade="D9"/>
          </w:tcPr>
          <w:p w14:paraId="3EC42A58" w14:textId="77777777" w:rsidR="009C1E40" w:rsidRPr="009C1E40" w:rsidRDefault="009C1E40" w:rsidP="009C1E40">
            <w:pPr>
              <w:pStyle w:val="Corpsdetexte"/>
              <w:rPr>
                <w:b/>
              </w:rPr>
            </w:pPr>
            <w:r w:rsidRPr="009C1E40">
              <w:rPr>
                <w:b/>
              </w:rPr>
              <w:t>LEVEE DES NIVEAUX / FIN DE SAISON</w:t>
            </w:r>
          </w:p>
        </w:tc>
      </w:tr>
      <w:tr w:rsidR="009C1E40" w:rsidRPr="00B522F3" w14:paraId="3DEC51A2" w14:textId="77777777" w:rsidTr="009C1E40">
        <w:trPr>
          <w:trHeight w:val="184"/>
        </w:trPr>
        <w:tc>
          <w:tcPr>
            <w:tcW w:w="10246" w:type="dxa"/>
          </w:tcPr>
          <w:p w14:paraId="415A3D3E" w14:textId="77777777" w:rsidR="009C1E40" w:rsidRPr="009C1E40" w:rsidRDefault="009C1E40" w:rsidP="009C1E40">
            <w:pPr>
              <w:pStyle w:val="Corpsdetexte"/>
            </w:pPr>
            <w:r w:rsidRPr="009C1E40">
              <w:t>-   Etablir un bilan à transmettre à</w:t>
            </w:r>
            <w:r>
              <w:t xml:space="preserve"> l</w:t>
            </w:r>
            <w:r w:rsidRPr="009C1E40">
              <w:t xml:space="preserve">’ARS </w:t>
            </w:r>
          </w:p>
        </w:tc>
      </w:tr>
    </w:tbl>
    <w:p w14:paraId="2E049316" w14:textId="77777777" w:rsidR="00AE5CD1" w:rsidRPr="00AE5CD1" w:rsidRDefault="00AE5CD1" w:rsidP="00AE5CD1">
      <w:pPr>
        <w:pStyle w:val="Corpsdetexte"/>
      </w:pPr>
    </w:p>
    <w:sectPr w:rsidR="00AE5CD1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F63A3" w14:textId="77777777" w:rsidR="0061676A" w:rsidRDefault="0061676A" w:rsidP="0079276E">
      <w:r>
        <w:separator/>
      </w:r>
    </w:p>
  </w:endnote>
  <w:endnote w:type="continuationSeparator" w:id="0">
    <w:p w14:paraId="10B603E7" w14:textId="77777777" w:rsidR="0061676A" w:rsidRDefault="0061676A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D276A55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C27083B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BCD65" w14:textId="77777777"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14:paraId="58538A96" w14:textId="77777777"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14:paraId="17F86FBE" w14:textId="77777777"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0ABFD" w14:textId="77777777" w:rsidR="0061676A" w:rsidRDefault="0061676A" w:rsidP="0079276E">
      <w:r>
        <w:separator/>
      </w:r>
    </w:p>
  </w:footnote>
  <w:footnote w:type="continuationSeparator" w:id="0">
    <w:p w14:paraId="629B097A" w14:textId="77777777" w:rsidR="0061676A" w:rsidRDefault="0061676A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7A6CB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24E6EDEE" wp14:editId="4A4298F4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77F2AC24" wp14:editId="33C2E9AC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6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3286996E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70B8E913" w14:textId="77777777" w:rsidR="0079276E" w:rsidRDefault="0079276E">
    <w:pPr>
      <w:pStyle w:val="En-tte"/>
      <w:rPr>
        <w:lang w:val="fr-FR"/>
      </w:rPr>
    </w:pPr>
  </w:p>
  <w:p w14:paraId="00D26F20" w14:textId="77777777" w:rsidR="002C08FC" w:rsidRDefault="002C08FC">
    <w:pPr>
      <w:pStyle w:val="En-tte"/>
      <w:rPr>
        <w:lang w:val="fr-FR"/>
      </w:rPr>
    </w:pPr>
  </w:p>
  <w:p w14:paraId="23FDBD6C" w14:textId="77777777" w:rsidR="002C08FC" w:rsidRDefault="002C08FC">
    <w:pPr>
      <w:pStyle w:val="En-tte"/>
      <w:rPr>
        <w:lang w:val="fr-FR"/>
      </w:rPr>
    </w:pPr>
  </w:p>
  <w:p w14:paraId="5858A4D0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CD03C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B"/>
    <w:multiLevelType w:val="multilevel"/>
    <w:tmpl w:val="66462322"/>
    <w:name w:val="WW8Num6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857CD"/>
    <w:multiLevelType w:val="hybridMultilevel"/>
    <w:tmpl w:val="37F6677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6386E"/>
    <w:multiLevelType w:val="hybridMultilevel"/>
    <w:tmpl w:val="34EA5152"/>
    <w:lvl w:ilvl="0" w:tplc="802CA6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42264"/>
    <w:multiLevelType w:val="hybridMultilevel"/>
    <w:tmpl w:val="37228F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10"/>
  </w:num>
  <w:num w:numId="8">
    <w:abstractNumId w:val="18"/>
  </w:num>
  <w:num w:numId="9">
    <w:abstractNumId w:val="16"/>
  </w:num>
  <w:num w:numId="10">
    <w:abstractNumId w:val="8"/>
  </w:num>
  <w:num w:numId="11">
    <w:abstractNumId w:val="4"/>
  </w:num>
  <w:num w:numId="12">
    <w:abstractNumId w:val="2"/>
  </w:num>
  <w:num w:numId="13">
    <w:abstractNumId w:val="1"/>
  </w:num>
  <w:num w:numId="14">
    <w:abstractNumId w:val="5"/>
  </w:num>
  <w:num w:numId="15">
    <w:abstractNumId w:val="17"/>
  </w:num>
  <w:num w:numId="16">
    <w:abstractNumId w:val="14"/>
  </w:num>
  <w:num w:numId="17">
    <w:abstractNumId w:val="0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10138D"/>
    <w:rsid w:val="001110E2"/>
    <w:rsid w:val="00113633"/>
    <w:rsid w:val="00151A35"/>
    <w:rsid w:val="001C79E5"/>
    <w:rsid w:val="00202B2A"/>
    <w:rsid w:val="00217856"/>
    <w:rsid w:val="002179EB"/>
    <w:rsid w:val="00217A14"/>
    <w:rsid w:val="00290741"/>
    <w:rsid w:val="00290CE8"/>
    <w:rsid w:val="00293194"/>
    <w:rsid w:val="002B22F3"/>
    <w:rsid w:val="002B5C81"/>
    <w:rsid w:val="002C08FC"/>
    <w:rsid w:val="002C53DF"/>
    <w:rsid w:val="002D2226"/>
    <w:rsid w:val="002E0B26"/>
    <w:rsid w:val="002E43F3"/>
    <w:rsid w:val="003240AC"/>
    <w:rsid w:val="00345574"/>
    <w:rsid w:val="003A239D"/>
    <w:rsid w:val="003B3F84"/>
    <w:rsid w:val="003B41AF"/>
    <w:rsid w:val="003D1DE1"/>
    <w:rsid w:val="0042101F"/>
    <w:rsid w:val="004529DA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E7415"/>
    <w:rsid w:val="004F7696"/>
    <w:rsid w:val="0052765D"/>
    <w:rsid w:val="00533FB0"/>
    <w:rsid w:val="00557EE6"/>
    <w:rsid w:val="00574356"/>
    <w:rsid w:val="005972E3"/>
    <w:rsid w:val="005B40D5"/>
    <w:rsid w:val="005B6F0D"/>
    <w:rsid w:val="005C4846"/>
    <w:rsid w:val="005F2E98"/>
    <w:rsid w:val="006011F5"/>
    <w:rsid w:val="00601526"/>
    <w:rsid w:val="0061676A"/>
    <w:rsid w:val="00625D93"/>
    <w:rsid w:val="00632F2D"/>
    <w:rsid w:val="00651077"/>
    <w:rsid w:val="006A15CF"/>
    <w:rsid w:val="006B57FA"/>
    <w:rsid w:val="006C0A6D"/>
    <w:rsid w:val="006D0F4C"/>
    <w:rsid w:val="006D39BE"/>
    <w:rsid w:val="006D502A"/>
    <w:rsid w:val="006F46DE"/>
    <w:rsid w:val="0079276E"/>
    <w:rsid w:val="007A14BF"/>
    <w:rsid w:val="007B30E4"/>
    <w:rsid w:val="007B6F11"/>
    <w:rsid w:val="007E5BE6"/>
    <w:rsid w:val="00800B11"/>
    <w:rsid w:val="0080446A"/>
    <w:rsid w:val="00807CCD"/>
    <w:rsid w:val="0081060F"/>
    <w:rsid w:val="008149D4"/>
    <w:rsid w:val="00851458"/>
    <w:rsid w:val="00853A04"/>
    <w:rsid w:val="008726A2"/>
    <w:rsid w:val="008963DA"/>
    <w:rsid w:val="008A73FE"/>
    <w:rsid w:val="00930B38"/>
    <w:rsid w:val="00936712"/>
    <w:rsid w:val="00936E45"/>
    <w:rsid w:val="00940853"/>
    <w:rsid w:val="00941377"/>
    <w:rsid w:val="00942938"/>
    <w:rsid w:val="009515B0"/>
    <w:rsid w:val="009732A9"/>
    <w:rsid w:val="00975E29"/>
    <w:rsid w:val="00987D66"/>
    <w:rsid w:val="00992DBA"/>
    <w:rsid w:val="009C0C96"/>
    <w:rsid w:val="009C1E40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D2012"/>
    <w:rsid w:val="00AE48FE"/>
    <w:rsid w:val="00AE4D5B"/>
    <w:rsid w:val="00AE5CD1"/>
    <w:rsid w:val="00AF13F4"/>
    <w:rsid w:val="00AF1D5B"/>
    <w:rsid w:val="00B33ACB"/>
    <w:rsid w:val="00B46AF7"/>
    <w:rsid w:val="00B46FB9"/>
    <w:rsid w:val="00B522F3"/>
    <w:rsid w:val="00B55B58"/>
    <w:rsid w:val="00B56EB0"/>
    <w:rsid w:val="00B66C5A"/>
    <w:rsid w:val="00B80B0A"/>
    <w:rsid w:val="00B82D55"/>
    <w:rsid w:val="00B86A2E"/>
    <w:rsid w:val="00BD5FD6"/>
    <w:rsid w:val="00C30CBC"/>
    <w:rsid w:val="00C3259B"/>
    <w:rsid w:val="00C42380"/>
    <w:rsid w:val="00C66322"/>
    <w:rsid w:val="00C67312"/>
    <w:rsid w:val="00C7451D"/>
    <w:rsid w:val="00C861FB"/>
    <w:rsid w:val="00CD24B6"/>
    <w:rsid w:val="00CD5E65"/>
    <w:rsid w:val="00CE751B"/>
    <w:rsid w:val="00CF4577"/>
    <w:rsid w:val="00D10C52"/>
    <w:rsid w:val="00D6036B"/>
    <w:rsid w:val="00D969E5"/>
    <w:rsid w:val="00DA2090"/>
    <w:rsid w:val="00DA3953"/>
    <w:rsid w:val="00DC23D3"/>
    <w:rsid w:val="00DC49B5"/>
    <w:rsid w:val="00DD50D6"/>
    <w:rsid w:val="00E05336"/>
    <w:rsid w:val="00E23B7D"/>
    <w:rsid w:val="00E43588"/>
    <w:rsid w:val="00E669F0"/>
    <w:rsid w:val="00E76048"/>
    <w:rsid w:val="00EB68A8"/>
    <w:rsid w:val="00EF02B5"/>
    <w:rsid w:val="00EF5CF0"/>
    <w:rsid w:val="00F22CF7"/>
    <w:rsid w:val="00F25DA3"/>
    <w:rsid w:val="00F261BB"/>
    <w:rsid w:val="00F7722A"/>
    <w:rsid w:val="00FA588E"/>
    <w:rsid w:val="00FC72EF"/>
    <w:rsid w:val="00FD162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5B2CA08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D05F-49FF-447C-98FF-E296DCF12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3</TotalTime>
  <Pages>2</Pages>
  <Words>483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5</cp:revision>
  <dcterms:created xsi:type="dcterms:W3CDTF">2021-06-23T17:42:00Z</dcterms:created>
  <dcterms:modified xsi:type="dcterms:W3CDTF">2022-05-09T10:10:00Z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