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F8" w:rsidRDefault="00DB1CF8" w:rsidP="00872C5A">
      <w:pPr>
        <w:pStyle w:val="Titre"/>
        <w:shd w:val="clear" w:color="auto" w:fill="B4C6E7" w:themeFill="accent5" w:themeFillTint="66"/>
        <w:jc w:val="center"/>
        <w:rPr>
          <w:rFonts w:ascii="Arial" w:hAnsi="Arial" w:cs="Arial"/>
          <w:b/>
          <w:sz w:val="32"/>
        </w:rPr>
      </w:pPr>
      <w:r>
        <w:rPr>
          <w:rFonts w:ascii="Arial" w:hAnsi="Arial" w:cs="Arial"/>
          <w:b/>
          <w:sz w:val="32"/>
        </w:rPr>
        <w:t xml:space="preserve">FAQ </w:t>
      </w:r>
    </w:p>
    <w:p w:rsidR="008F7FCB" w:rsidRDefault="00BB4CE0" w:rsidP="00872C5A">
      <w:pPr>
        <w:pStyle w:val="Titre"/>
        <w:shd w:val="clear" w:color="auto" w:fill="B4C6E7" w:themeFill="accent5" w:themeFillTint="66"/>
        <w:jc w:val="center"/>
        <w:rPr>
          <w:rFonts w:ascii="Arial" w:hAnsi="Arial" w:cs="Arial"/>
          <w:b/>
          <w:sz w:val="32"/>
        </w:rPr>
      </w:pPr>
      <w:r>
        <w:rPr>
          <w:rFonts w:ascii="Arial" w:hAnsi="Arial" w:cs="Arial"/>
          <w:b/>
          <w:sz w:val="32"/>
        </w:rPr>
        <w:t>Wébi</w:t>
      </w:r>
      <w:bookmarkStart w:id="0" w:name="_GoBack"/>
      <w:bookmarkEnd w:id="0"/>
      <w:r w:rsidR="00DB1CF8">
        <w:rPr>
          <w:rFonts w:ascii="Arial" w:hAnsi="Arial" w:cs="Arial"/>
          <w:b/>
          <w:sz w:val="32"/>
        </w:rPr>
        <w:t xml:space="preserve">naire </w:t>
      </w:r>
      <w:r w:rsidR="00DB1CF8" w:rsidRPr="008F7FCB">
        <w:rPr>
          <w:rFonts w:ascii="Arial" w:hAnsi="Arial" w:cs="Arial"/>
          <w:b/>
          <w:sz w:val="32"/>
        </w:rPr>
        <w:t xml:space="preserve">Contrat d’Allocation d’Études </w:t>
      </w:r>
      <w:r w:rsidR="00DB1CF8">
        <w:rPr>
          <w:rFonts w:ascii="Arial" w:hAnsi="Arial" w:cs="Arial"/>
          <w:b/>
          <w:sz w:val="32"/>
        </w:rPr>
        <w:t>du 20 mai 2022</w:t>
      </w:r>
    </w:p>
    <w:p w:rsidR="004D7478" w:rsidRDefault="004D7478" w:rsidP="00872C5A">
      <w:pPr>
        <w:pStyle w:val="Titre"/>
        <w:rPr>
          <w:rFonts w:ascii="Arial" w:hAnsi="Arial" w:cs="Arial"/>
          <w:b/>
          <w:sz w:val="32"/>
        </w:rPr>
      </w:pPr>
    </w:p>
    <w:p w:rsidR="00E82564" w:rsidRDefault="00B22B2D" w:rsidP="00E82564">
      <w:r>
        <w:rPr>
          <w:noProof/>
          <w:lang w:eastAsia="fr-FR"/>
        </w:rPr>
        <mc:AlternateContent>
          <mc:Choice Requires="wps">
            <w:drawing>
              <wp:anchor distT="0" distB="0" distL="114300" distR="114300" simplePos="0" relativeHeight="251659264" behindDoc="1" locked="0" layoutInCell="1" allowOverlap="1">
                <wp:simplePos x="0" y="0"/>
                <wp:positionH relativeFrom="column">
                  <wp:posOffset>-147596</wp:posOffset>
                </wp:positionH>
                <wp:positionV relativeFrom="paragraph">
                  <wp:posOffset>145277</wp:posOffset>
                </wp:positionV>
                <wp:extent cx="6344285" cy="2170430"/>
                <wp:effectExtent l="0" t="0" r="0" b="1270"/>
                <wp:wrapNone/>
                <wp:docPr id="4" name="Rectangle à coins arrondis 4"/>
                <wp:cNvGraphicFramePr/>
                <a:graphic xmlns:a="http://schemas.openxmlformats.org/drawingml/2006/main">
                  <a:graphicData uri="http://schemas.microsoft.com/office/word/2010/wordprocessingShape">
                    <wps:wsp>
                      <wps:cNvSpPr/>
                      <wps:spPr>
                        <a:xfrm>
                          <a:off x="0" y="0"/>
                          <a:ext cx="6344285" cy="2170430"/>
                        </a:xfrm>
                        <a:prstGeom prst="roundRect">
                          <a:avLst>
                            <a:gd name="adj" fmla="val 8974"/>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1DA82" id="Rectangle à coins arrondis 4" o:spid="_x0000_s1026" style="position:absolute;margin-left:-11.6pt;margin-top:11.45pt;width:499.55pt;height:17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" fillcolor="#d9e2f3 [664]" stroked="f" strokeweight="1pt">
                <v:stroke joinstyle="miter"/>
              </v:roundrect>
            </w:pict>
          </mc:Fallback>
        </mc:AlternateContent>
      </w:r>
    </w:p>
    <w:p w:rsidR="00721C9B" w:rsidRDefault="00721C9B" w:rsidP="00E82564">
      <w:r w:rsidRPr="007B6672">
        <w:rPr>
          <w:b/>
        </w:rPr>
        <w:t>L’appel à candidatures de la campagne CAE 2022</w:t>
      </w:r>
      <w:r>
        <w:t xml:space="preserve"> </w:t>
      </w:r>
      <w:r w:rsidR="00D30042">
        <w:t>est</w:t>
      </w:r>
      <w:r>
        <w:t xml:space="preserve"> disponible sur la page ARS via le lien suivant : </w:t>
      </w:r>
      <w:hyperlink r:id="rId6" w:history="1">
        <w:r w:rsidRPr="006B0BCC">
          <w:rPr>
            <w:rStyle w:val="Lienhypertexte"/>
          </w:rPr>
          <w:t>https://www.iledefrance.ars.sante.fr/contrat-dallocation-detudes-campagne-2022</w:t>
        </w:r>
      </w:hyperlink>
    </w:p>
    <w:p w:rsidR="00721C9B" w:rsidRDefault="00721C9B" w:rsidP="00E82564">
      <w:r>
        <w:t>Sur cette page, deux documents sont à télécharger :</w:t>
      </w:r>
    </w:p>
    <w:p w:rsidR="00721C9B" w:rsidRDefault="00721C9B" w:rsidP="00721C9B">
      <w:pPr>
        <w:pStyle w:val="Paragraphedeliste"/>
        <w:numPr>
          <w:ilvl w:val="0"/>
          <w:numId w:val="1"/>
        </w:numPr>
      </w:pPr>
      <w:r w:rsidRPr="007B6672">
        <w:t xml:space="preserve">Le </w:t>
      </w:r>
      <w:r w:rsidRPr="007B6672">
        <w:rPr>
          <w:b/>
        </w:rPr>
        <w:t xml:space="preserve">cahier des charges </w:t>
      </w:r>
      <w:r w:rsidR="007B6672" w:rsidRPr="007B6672">
        <w:rPr>
          <w:b/>
        </w:rPr>
        <w:t>2022</w:t>
      </w:r>
      <w:r w:rsidR="007B6672">
        <w:t xml:space="preserve"> </w:t>
      </w:r>
      <w:r>
        <w:t>à destination des établissements reprenant les modalités du dispositif : objet de l’appel à candidatures, objectifs du dispositif, modalités de prise en charge financière, modalités du dispositif de contrat d’allocation d’études, modalités d’instruction des dossiers CAE, engagements et calendrier</w:t>
      </w:r>
      <w:r w:rsidR="00505FE4">
        <w:t>.</w:t>
      </w:r>
    </w:p>
    <w:p w:rsidR="00721C9B" w:rsidRDefault="007B6672" w:rsidP="00E82564">
      <w:pPr>
        <w:pStyle w:val="Paragraphedeliste"/>
        <w:numPr>
          <w:ilvl w:val="0"/>
          <w:numId w:val="1"/>
        </w:numPr>
      </w:pPr>
      <w:r>
        <w:t xml:space="preserve">Le </w:t>
      </w:r>
      <w:r w:rsidRPr="007B6672">
        <w:rPr>
          <w:b/>
        </w:rPr>
        <w:t>modèle de contrat d’allocation d’études 2022</w:t>
      </w:r>
      <w:r>
        <w:rPr>
          <w:b/>
        </w:rPr>
        <w:t xml:space="preserve"> prévu </w:t>
      </w:r>
      <w:r w:rsidRPr="007B6672">
        <w:t>p</w:t>
      </w:r>
      <w:r w:rsidR="00505FE4">
        <w:t xml:space="preserve">our la contractualisation entre </w:t>
      </w:r>
      <w:r w:rsidRPr="007B6672">
        <w:t>l’étudiant</w:t>
      </w:r>
      <w:r w:rsidR="00477FE2">
        <w:t>(e)</w:t>
      </w:r>
      <w:r w:rsidR="00505FE4" w:rsidRPr="00505FE4">
        <w:t xml:space="preserve"> </w:t>
      </w:r>
      <w:r w:rsidR="00505FE4">
        <w:t xml:space="preserve">et </w:t>
      </w:r>
      <w:r w:rsidR="00505FE4" w:rsidRPr="007B6672">
        <w:t>l’établissement</w:t>
      </w:r>
      <w:r w:rsidR="00505FE4">
        <w:t>.</w:t>
      </w:r>
    </w:p>
    <w:p w:rsidR="00271A8D" w:rsidRDefault="00271A8D" w:rsidP="00E82564"/>
    <w:p w:rsidR="00721C9B" w:rsidRDefault="00CF386A" w:rsidP="00E82564">
      <w:r>
        <w:t xml:space="preserve">En complément de ces éléments, des informations </w:t>
      </w:r>
      <w:r w:rsidR="00505FE4">
        <w:t xml:space="preserve">ci-dessous </w:t>
      </w:r>
      <w:r>
        <w:t>sont précisées suite aux questions posées dans ca</w:t>
      </w:r>
      <w:r w:rsidR="00C31D3A">
        <w:t>dre du webinaire du 20 Mai 2022 :</w:t>
      </w:r>
    </w:p>
    <w:p w:rsidR="001336E1" w:rsidRPr="0004653E" w:rsidRDefault="00B72B83" w:rsidP="0004653E">
      <w:pPr>
        <w:rPr>
          <w:b/>
          <w:color w:val="4472C4" w:themeColor="accent5"/>
          <w:u w:val="single"/>
        </w:rPr>
      </w:pPr>
      <w:r>
        <w:rPr>
          <w:b/>
          <w:color w:val="4472C4" w:themeColor="accent5"/>
          <w:u w:val="single"/>
        </w:rPr>
        <w:t>Quels sont les étudiants éligibles ?</w:t>
      </w:r>
      <w:r w:rsidR="000D638D">
        <w:rPr>
          <w:b/>
          <w:color w:val="4472C4" w:themeColor="accent5"/>
          <w:u w:val="single"/>
        </w:rPr>
        <w:br/>
      </w:r>
      <w:r w:rsidR="00074BD2">
        <w:t>L</w:t>
      </w:r>
      <w:r w:rsidR="001336E1">
        <w:t>es étudiant</w:t>
      </w:r>
      <w:r>
        <w:t>s</w:t>
      </w:r>
      <w:r w:rsidR="001336E1">
        <w:t xml:space="preserve"> éligibles </w:t>
      </w:r>
      <w:r w:rsidR="00074BD2">
        <w:t xml:space="preserve">au dispositif </w:t>
      </w:r>
      <w:r w:rsidR="001336E1">
        <w:t xml:space="preserve">doivent être inscrit(e)s dans les écoles ou instituts de formation en santé relevant de métiers en tension, </w:t>
      </w:r>
      <w:r w:rsidR="001336E1" w:rsidRPr="009A2571">
        <w:rPr>
          <w:b/>
          <w:color w:val="FF0000"/>
        </w:rPr>
        <w:t>exclusivement en dernière année</w:t>
      </w:r>
      <w:r w:rsidR="00937907" w:rsidRPr="009A2571">
        <w:rPr>
          <w:color w:val="FF0000"/>
        </w:rPr>
        <w:t> </w:t>
      </w:r>
      <w:r w:rsidR="00937907">
        <w:t>:</w:t>
      </w:r>
    </w:p>
    <w:p w:rsidR="001336E1" w:rsidRPr="009A2571" w:rsidRDefault="001336E1" w:rsidP="00D24C06">
      <w:pPr>
        <w:spacing w:after="0"/>
        <w:ind w:left="360"/>
        <w:rPr>
          <w:b/>
        </w:rPr>
      </w:pPr>
      <w:r w:rsidRPr="009A2571">
        <w:rPr>
          <w:b/>
          <w:u w:val="single"/>
        </w:rPr>
        <w:t>Au sein des établissements de santé franciliens</w:t>
      </w:r>
      <w:r w:rsidR="00937907" w:rsidRPr="009A2571">
        <w:rPr>
          <w:b/>
        </w:rPr>
        <w:t xml:space="preserve"> </w:t>
      </w:r>
    </w:p>
    <w:p w:rsidR="00C719E7" w:rsidRDefault="00C719E7" w:rsidP="00D24C06">
      <w:pPr>
        <w:spacing w:after="0"/>
        <w:ind w:left="360"/>
      </w:pPr>
    </w:p>
    <w:p w:rsidR="001336E1" w:rsidRDefault="001336E1" w:rsidP="00D24C06">
      <w:pPr>
        <w:pStyle w:val="Paragraphedeliste"/>
        <w:numPr>
          <w:ilvl w:val="0"/>
          <w:numId w:val="6"/>
        </w:numPr>
        <w:spacing w:after="0"/>
        <w:ind w:left="1080"/>
      </w:pPr>
      <w:r w:rsidRPr="009A2571">
        <w:rPr>
          <w:b/>
        </w:rPr>
        <w:t>Infirmier</w:t>
      </w:r>
      <w:r w:rsidRPr="009A2571">
        <w:t xml:space="preserve"> </w:t>
      </w:r>
      <w:r>
        <w:t>(3ème année</w:t>
      </w:r>
      <w:r w:rsidRPr="001336E1">
        <w:t xml:space="preserve"> </w:t>
      </w:r>
      <w:r>
        <w:t>de la formation préparant au Diplôme d’Etat d’Infirmier)</w:t>
      </w:r>
    </w:p>
    <w:p w:rsidR="001336E1" w:rsidRDefault="001336E1" w:rsidP="00D24C06">
      <w:pPr>
        <w:pStyle w:val="Paragraphedeliste"/>
        <w:numPr>
          <w:ilvl w:val="0"/>
          <w:numId w:val="6"/>
        </w:numPr>
        <w:spacing w:after="0"/>
        <w:ind w:left="1080"/>
      </w:pPr>
      <w:r w:rsidRPr="009A2571">
        <w:rPr>
          <w:b/>
        </w:rPr>
        <w:t>Sage-Femme</w:t>
      </w:r>
      <w:r>
        <w:t xml:space="preserve"> (5ème année de la formation préparant au Diplôme d’Etat de Sages-Femmes)</w:t>
      </w:r>
    </w:p>
    <w:p w:rsidR="001336E1" w:rsidRDefault="001336E1" w:rsidP="00D24C06">
      <w:pPr>
        <w:pStyle w:val="Paragraphedeliste"/>
        <w:spacing w:after="0"/>
        <w:ind w:left="1080"/>
      </w:pPr>
    </w:p>
    <w:p w:rsidR="001336E1" w:rsidRPr="009A2571" w:rsidRDefault="001336E1" w:rsidP="00D24C06">
      <w:pPr>
        <w:spacing w:after="0"/>
        <w:ind w:left="360"/>
        <w:rPr>
          <w:b/>
        </w:rPr>
      </w:pPr>
      <w:r w:rsidRPr="009A2571">
        <w:rPr>
          <w:b/>
          <w:u w:val="single"/>
        </w:rPr>
        <w:t xml:space="preserve">Au sein des </w:t>
      </w:r>
      <w:r w:rsidR="00D500B4">
        <w:rPr>
          <w:b/>
          <w:u w:val="single"/>
        </w:rPr>
        <w:t>é</w:t>
      </w:r>
      <w:r w:rsidR="00D500B4" w:rsidRPr="00D500B4">
        <w:rPr>
          <w:b/>
          <w:u w:val="single"/>
        </w:rPr>
        <w:t>tablissements et services médico-sociaux financés ou co-fi</w:t>
      </w:r>
      <w:r w:rsidR="00D500B4">
        <w:rPr>
          <w:b/>
          <w:u w:val="single"/>
        </w:rPr>
        <w:t xml:space="preserve">nancés par l’Assurance-maladie </w:t>
      </w:r>
      <w:r w:rsidR="00D500B4" w:rsidRPr="00D500B4">
        <w:rPr>
          <w:b/>
          <w:u w:val="single"/>
        </w:rPr>
        <w:t>(secteurs Personnes âgées et personnes en situation de handicap)</w:t>
      </w:r>
      <w:r w:rsidRPr="009A2571">
        <w:rPr>
          <w:b/>
          <w:u w:val="single"/>
        </w:rPr>
        <w:t xml:space="preserve"> franciliens</w:t>
      </w:r>
      <w:r w:rsidR="00937907" w:rsidRPr="009A2571">
        <w:rPr>
          <w:b/>
        </w:rPr>
        <w:t xml:space="preserve"> </w:t>
      </w:r>
    </w:p>
    <w:p w:rsidR="00C719E7" w:rsidRDefault="00C719E7" w:rsidP="006104B2">
      <w:pPr>
        <w:spacing w:after="0"/>
        <w:ind w:left="360"/>
        <w:jc w:val="both"/>
      </w:pPr>
    </w:p>
    <w:p w:rsidR="001336E1" w:rsidRDefault="001336E1" w:rsidP="006104B2">
      <w:pPr>
        <w:pStyle w:val="Paragraphedeliste"/>
        <w:numPr>
          <w:ilvl w:val="0"/>
          <w:numId w:val="5"/>
        </w:numPr>
        <w:spacing w:after="0"/>
        <w:ind w:left="1080"/>
        <w:jc w:val="both"/>
      </w:pPr>
      <w:r w:rsidRPr="009A2571">
        <w:rPr>
          <w:b/>
        </w:rPr>
        <w:t>Aide-soignant</w:t>
      </w:r>
      <w:r>
        <w:t xml:space="preserve"> (durant l’intégralité de la formation de la formation préparant au Diplôme d’Etat d’Aide-soignant)</w:t>
      </w:r>
    </w:p>
    <w:p w:rsidR="001336E1" w:rsidRDefault="001336E1" w:rsidP="006104B2">
      <w:pPr>
        <w:pStyle w:val="Paragraphedeliste"/>
        <w:numPr>
          <w:ilvl w:val="0"/>
          <w:numId w:val="5"/>
        </w:numPr>
        <w:spacing w:after="0"/>
        <w:ind w:left="1080"/>
        <w:jc w:val="both"/>
      </w:pPr>
      <w:r w:rsidRPr="009A2571">
        <w:rPr>
          <w:b/>
        </w:rPr>
        <w:t>Infirmier</w:t>
      </w:r>
      <w:r>
        <w:t xml:space="preserve"> (3</w:t>
      </w:r>
      <w:r w:rsidRPr="001336E1">
        <w:rPr>
          <w:vertAlign w:val="superscript"/>
        </w:rPr>
        <w:t>ème</w:t>
      </w:r>
      <w:r>
        <w:t xml:space="preserve"> année de la formation préparant au Diplôme d’Etat d’Infirmier)</w:t>
      </w:r>
    </w:p>
    <w:p w:rsidR="001336E1" w:rsidRDefault="009A2571" w:rsidP="006104B2">
      <w:pPr>
        <w:pStyle w:val="Paragraphedeliste"/>
        <w:numPr>
          <w:ilvl w:val="0"/>
          <w:numId w:val="5"/>
        </w:numPr>
        <w:spacing w:after="0"/>
        <w:ind w:left="1080"/>
        <w:jc w:val="both"/>
      </w:pPr>
      <w:r w:rsidRPr="009A2571">
        <w:rPr>
          <w:b/>
        </w:rPr>
        <w:t>Masseur</w:t>
      </w:r>
      <w:r w:rsidR="001336E1" w:rsidRPr="009A2571">
        <w:rPr>
          <w:b/>
        </w:rPr>
        <w:t>-kinésithérapeute</w:t>
      </w:r>
      <w:r w:rsidR="001336E1">
        <w:t xml:space="preserve"> </w:t>
      </w:r>
      <w:r w:rsidR="000D13B3">
        <w:t>(4</w:t>
      </w:r>
      <w:r w:rsidR="000D13B3" w:rsidRPr="000D13B3">
        <w:rPr>
          <w:vertAlign w:val="superscript"/>
        </w:rPr>
        <w:t>ème</w:t>
      </w:r>
      <w:r w:rsidR="000D13B3">
        <w:t xml:space="preserve"> </w:t>
      </w:r>
      <w:r w:rsidR="001336E1">
        <w:t>année de la formation préparant au Diplôme d’Etat de Masseur-kinésithérapeute)</w:t>
      </w:r>
    </w:p>
    <w:p w:rsidR="001336E1" w:rsidRDefault="001336E1" w:rsidP="006104B2">
      <w:pPr>
        <w:pStyle w:val="Paragraphedeliste"/>
        <w:numPr>
          <w:ilvl w:val="0"/>
          <w:numId w:val="5"/>
        </w:numPr>
        <w:spacing w:after="0"/>
        <w:ind w:left="1080"/>
        <w:jc w:val="both"/>
      </w:pPr>
      <w:r w:rsidRPr="009A2571">
        <w:rPr>
          <w:b/>
        </w:rPr>
        <w:t xml:space="preserve">Orthophoniste </w:t>
      </w:r>
      <w:r>
        <w:t>(5</w:t>
      </w:r>
      <w:r w:rsidRPr="001336E1">
        <w:rPr>
          <w:vertAlign w:val="superscript"/>
        </w:rPr>
        <w:t>ème</w:t>
      </w:r>
      <w:r>
        <w:t xml:space="preserve"> année de la formation préparant au Certificat de capacité d'Orthophoniste)</w:t>
      </w:r>
    </w:p>
    <w:p w:rsidR="00D500B4" w:rsidRPr="00937907" w:rsidRDefault="001336E1" w:rsidP="00D500B4">
      <w:pPr>
        <w:pStyle w:val="Paragraphedeliste"/>
        <w:numPr>
          <w:ilvl w:val="0"/>
          <w:numId w:val="5"/>
        </w:numPr>
        <w:spacing w:after="0"/>
        <w:ind w:left="1080"/>
        <w:jc w:val="both"/>
      </w:pPr>
      <w:r w:rsidRPr="009A2571">
        <w:rPr>
          <w:b/>
        </w:rPr>
        <w:t>Éducateur spécialisé</w:t>
      </w:r>
      <w:r w:rsidRPr="009A2571">
        <w:t xml:space="preserve"> (</w:t>
      </w:r>
      <w:r>
        <w:t>3</w:t>
      </w:r>
      <w:r w:rsidRPr="001336E1">
        <w:rPr>
          <w:vertAlign w:val="superscript"/>
        </w:rPr>
        <w:t>ème</w:t>
      </w:r>
      <w:r>
        <w:t xml:space="preserve"> année de la formation préparant au Diplôme d'État </w:t>
      </w:r>
      <w:r w:rsidRPr="00937907">
        <w:t>d</w:t>
      </w:r>
      <w:r w:rsidR="00D500B4">
        <w:t>’Educateur Spécialisé)</w:t>
      </w:r>
    </w:p>
    <w:p w:rsidR="00074BD2" w:rsidRDefault="00074BD2" w:rsidP="00A02F95">
      <w:pPr>
        <w:spacing w:after="0"/>
        <w:ind w:left="360"/>
      </w:pPr>
    </w:p>
    <w:p w:rsidR="000D638D" w:rsidRPr="000D638D" w:rsidRDefault="000D638D" w:rsidP="000D638D">
      <w:pPr>
        <w:spacing w:after="0"/>
        <w:rPr>
          <w:b/>
          <w:color w:val="4472C4" w:themeColor="accent5"/>
          <w:u w:val="single"/>
        </w:rPr>
      </w:pPr>
      <w:r w:rsidRPr="000D638D">
        <w:rPr>
          <w:b/>
          <w:color w:val="4472C4" w:themeColor="accent5"/>
          <w:u w:val="single"/>
        </w:rPr>
        <w:t>Quelle est la période de rentrée des étudiants éligibles ?</w:t>
      </w:r>
    </w:p>
    <w:p w:rsidR="002A42C4" w:rsidRDefault="00403C7F" w:rsidP="006104B2">
      <w:pPr>
        <w:spacing w:after="0"/>
        <w:jc w:val="both"/>
      </w:pPr>
      <w:r w:rsidRPr="00937907">
        <w:t>Les étudiant</w:t>
      </w:r>
      <w:r w:rsidR="00477FE2">
        <w:t>(e)</w:t>
      </w:r>
      <w:r w:rsidRPr="00937907">
        <w:t xml:space="preserve">s éligibles à la campagne 2022 sont </w:t>
      </w:r>
      <w:r w:rsidR="00937907" w:rsidRPr="00937907">
        <w:t xml:space="preserve">en priorité </w:t>
      </w:r>
      <w:r w:rsidRPr="00937907">
        <w:t xml:space="preserve">les </w:t>
      </w:r>
      <w:r w:rsidR="00477FE2" w:rsidRPr="00937907">
        <w:t>étudiant</w:t>
      </w:r>
      <w:r w:rsidR="00477FE2">
        <w:t>(e)</w:t>
      </w:r>
      <w:r w:rsidR="00477FE2" w:rsidRPr="00937907">
        <w:t>s</w:t>
      </w:r>
      <w:r w:rsidR="0004653E">
        <w:t xml:space="preserve"> dont la rentrée en dernière </w:t>
      </w:r>
      <w:r w:rsidRPr="00937907">
        <w:t>année de formation débute à partir de Septembre 2022.</w:t>
      </w:r>
    </w:p>
    <w:p w:rsidR="00937907" w:rsidRDefault="00937907" w:rsidP="002A42C4">
      <w:pPr>
        <w:spacing w:after="0"/>
      </w:pPr>
    </w:p>
    <w:p w:rsidR="000D638D" w:rsidRPr="000D638D" w:rsidRDefault="000D638D" w:rsidP="002A42C4">
      <w:pPr>
        <w:spacing w:after="0"/>
        <w:rPr>
          <w:b/>
          <w:color w:val="4472C4" w:themeColor="accent5"/>
          <w:u w:val="single"/>
        </w:rPr>
      </w:pPr>
      <w:r w:rsidRPr="000D638D">
        <w:rPr>
          <w:b/>
          <w:color w:val="4472C4" w:themeColor="accent5"/>
          <w:u w:val="single"/>
        </w:rPr>
        <w:t>Quels sont les organismes de formations au sein desquels les étudiants sont inscrits ?</w:t>
      </w:r>
    </w:p>
    <w:p w:rsidR="00D66A03" w:rsidRDefault="00937907" w:rsidP="006104B2">
      <w:pPr>
        <w:spacing w:after="0"/>
        <w:jc w:val="both"/>
      </w:pPr>
      <w:r>
        <w:t xml:space="preserve">Les </w:t>
      </w:r>
      <w:r w:rsidR="00477FE2" w:rsidRPr="00937907">
        <w:t>étudiant</w:t>
      </w:r>
      <w:r w:rsidR="00477FE2">
        <w:t>(e)</w:t>
      </w:r>
      <w:r w:rsidR="00477FE2" w:rsidRPr="00937907">
        <w:t>s</w:t>
      </w:r>
      <w:r>
        <w:t xml:space="preserve"> inscrits dans des organismes d</w:t>
      </w:r>
      <w:r w:rsidR="00E20DC4">
        <w:t xml:space="preserve">e formations franciliens, </w:t>
      </w:r>
      <w:r w:rsidR="00C31D3A">
        <w:t xml:space="preserve">mais les étudiants inscrits dans des instituts </w:t>
      </w:r>
      <w:r w:rsidR="00E20DC4">
        <w:t>hors I</w:t>
      </w:r>
      <w:r>
        <w:t xml:space="preserve">le de France sont </w:t>
      </w:r>
      <w:r w:rsidR="00C31D3A">
        <w:t xml:space="preserve">également </w:t>
      </w:r>
      <w:r>
        <w:t xml:space="preserve">éligibles au dispositif. </w:t>
      </w:r>
    </w:p>
    <w:p w:rsidR="003C4B11" w:rsidRDefault="003C4B11" w:rsidP="00060A47">
      <w:pPr>
        <w:spacing w:after="0"/>
      </w:pPr>
    </w:p>
    <w:p w:rsidR="00060A47" w:rsidRDefault="00F311E6" w:rsidP="00060A47">
      <w:pPr>
        <w:spacing w:after="0"/>
        <w:rPr>
          <w:b/>
          <w:color w:val="4472C4" w:themeColor="accent5"/>
          <w:u w:val="single"/>
        </w:rPr>
      </w:pPr>
      <w:r w:rsidRPr="00F311E6">
        <w:rPr>
          <w:b/>
          <w:color w:val="4472C4" w:themeColor="accent5"/>
          <w:u w:val="single"/>
        </w:rPr>
        <w:t xml:space="preserve">Est-ce que l’établissement peut contractualiser des CAE </w:t>
      </w:r>
      <w:r>
        <w:rPr>
          <w:b/>
          <w:color w:val="4472C4" w:themeColor="accent5"/>
          <w:u w:val="single"/>
        </w:rPr>
        <w:t>en dehors du dispositif de l’ARS Ile de France ?</w:t>
      </w:r>
    </w:p>
    <w:p w:rsidR="00F311E6" w:rsidRPr="0004653E" w:rsidRDefault="0004653E" w:rsidP="006104B2">
      <w:pPr>
        <w:spacing w:after="0"/>
        <w:jc w:val="both"/>
      </w:pPr>
      <w:r w:rsidRPr="0004653E">
        <w:lastRenderedPageBreak/>
        <w:t>Oui, les établissements peuvent contractualiser des CAE hors dispositif ARS, concernant les métiers de leurs choix,</w:t>
      </w:r>
      <w:r>
        <w:t xml:space="preserve"> selon leurs propres modalités, </w:t>
      </w:r>
      <w:r w:rsidR="00AE142C">
        <w:t xml:space="preserve">et </w:t>
      </w:r>
      <w:r>
        <w:t xml:space="preserve">financés sur leurs </w:t>
      </w:r>
      <w:r w:rsidR="00A97516">
        <w:t>fonds propres.</w:t>
      </w:r>
    </w:p>
    <w:p w:rsidR="00F311E6" w:rsidRDefault="00F311E6" w:rsidP="00060A47">
      <w:pPr>
        <w:spacing w:after="0"/>
        <w:rPr>
          <w:b/>
          <w:color w:val="4472C4" w:themeColor="accent5"/>
          <w:u w:val="single"/>
        </w:rPr>
      </w:pPr>
    </w:p>
    <w:p w:rsidR="00F311E6" w:rsidRPr="00F311E6" w:rsidRDefault="00A97516" w:rsidP="00060A47">
      <w:pPr>
        <w:spacing w:after="0"/>
        <w:rPr>
          <w:b/>
          <w:color w:val="4472C4" w:themeColor="accent5"/>
          <w:u w:val="single"/>
        </w:rPr>
      </w:pPr>
      <w:r>
        <w:rPr>
          <w:b/>
          <w:color w:val="4472C4" w:themeColor="accent5"/>
          <w:u w:val="single"/>
        </w:rPr>
        <w:t xml:space="preserve">Quelle est la différence entre le contrat d’allocation d’études et </w:t>
      </w:r>
      <w:r w:rsidR="005C7E56">
        <w:rPr>
          <w:b/>
          <w:color w:val="4472C4" w:themeColor="accent5"/>
          <w:u w:val="single"/>
        </w:rPr>
        <w:t>le contrat de travail ?</w:t>
      </w:r>
    </w:p>
    <w:p w:rsidR="00A97516" w:rsidRPr="00A97516" w:rsidRDefault="00A97516" w:rsidP="00A97516">
      <w:pPr>
        <w:pStyle w:val="Paragraphedeliste"/>
        <w:ind w:left="360"/>
      </w:pPr>
    </w:p>
    <w:p w:rsidR="003C4B11" w:rsidRDefault="00167907" w:rsidP="00A52A2D">
      <w:pPr>
        <w:pStyle w:val="Paragraphedeliste"/>
        <w:numPr>
          <w:ilvl w:val="0"/>
          <w:numId w:val="22"/>
        </w:numPr>
      </w:pPr>
      <w:r w:rsidRPr="003C4B11">
        <w:rPr>
          <w:b/>
        </w:rPr>
        <w:t>Le contrat d’allocation d’études</w:t>
      </w:r>
      <w:r w:rsidR="00C201DA" w:rsidRPr="003C4B11">
        <w:rPr>
          <w:b/>
        </w:rPr>
        <w:t xml:space="preserve"> (CAE)</w:t>
      </w:r>
      <w:r w:rsidR="00A52A2D" w:rsidRPr="003C4B11">
        <w:rPr>
          <w:b/>
        </w:rPr>
        <w:t xml:space="preserve"> est </w:t>
      </w:r>
      <w:r w:rsidRPr="003C4B11">
        <w:rPr>
          <w:b/>
        </w:rPr>
        <w:t>signé entre l’établissement et l’étudiant</w:t>
      </w:r>
      <w:r w:rsidR="0045295C">
        <w:rPr>
          <w:b/>
        </w:rPr>
        <w:t xml:space="preserve"> éligible </w:t>
      </w:r>
      <w:r w:rsidR="00A52A2D" w:rsidRPr="003C4B11">
        <w:rPr>
          <w:b/>
        </w:rPr>
        <w:t>pendant la dernière année d</w:t>
      </w:r>
      <w:r w:rsidR="0045295C">
        <w:rPr>
          <w:b/>
        </w:rPr>
        <w:t>e formation</w:t>
      </w:r>
      <w:r w:rsidR="00A52A2D" w:rsidRPr="003C4B11">
        <w:rPr>
          <w:b/>
        </w:rPr>
        <w:t xml:space="preserve"> de l’étudiant</w:t>
      </w:r>
      <w:r w:rsidR="0045295C">
        <w:rPr>
          <w:b/>
        </w:rPr>
        <w:t xml:space="preserve"> </w:t>
      </w:r>
    </w:p>
    <w:p w:rsidR="001A0BB4" w:rsidRDefault="00A52A2D" w:rsidP="006104B2">
      <w:pPr>
        <w:jc w:val="both"/>
      </w:pPr>
      <w:r>
        <w:t xml:space="preserve">Il </w:t>
      </w:r>
      <w:r w:rsidR="00167907">
        <w:t xml:space="preserve">détermine les modalités de </w:t>
      </w:r>
      <w:r w:rsidR="006104B2">
        <w:t>l’allocation</w:t>
      </w:r>
      <w:r w:rsidR="00167907">
        <w:t xml:space="preserve"> contre l’engagement de servir</w:t>
      </w:r>
      <w:r>
        <w:t>.</w:t>
      </w:r>
      <w:r w:rsidR="003C4B11">
        <w:t xml:space="preserve"> </w:t>
      </w:r>
      <w:r w:rsidR="00886C42">
        <w:t>Les clauses de ruptures éventuelles sont prévues:</w:t>
      </w:r>
    </w:p>
    <w:p w:rsidR="00A52A2D" w:rsidRDefault="001A0BB4" w:rsidP="006104B2">
      <w:pPr>
        <w:pStyle w:val="Paragraphedeliste"/>
        <w:numPr>
          <w:ilvl w:val="0"/>
          <w:numId w:val="24"/>
        </w:numPr>
        <w:jc w:val="both"/>
      </w:pPr>
      <w:r>
        <w:t>En cas de redoublement </w:t>
      </w:r>
      <w:r w:rsidRPr="001A0BB4">
        <w:t>ou d’évènement exceptionnel impactant le déroulement habit</w:t>
      </w:r>
      <w:r>
        <w:t xml:space="preserve">uel du calendrier de formation : </w:t>
      </w:r>
      <w:r w:rsidRPr="001A0BB4">
        <w:t>le versement de l’allocation d’études peut être suspendu durant toute l’année scolaire de redoublement.</w:t>
      </w:r>
    </w:p>
    <w:p w:rsidR="006104B2" w:rsidRDefault="001A0BB4" w:rsidP="006104B2">
      <w:pPr>
        <w:pStyle w:val="Paragraphedeliste"/>
        <w:numPr>
          <w:ilvl w:val="0"/>
          <w:numId w:val="24"/>
        </w:numPr>
        <w:jc w:val="both"/>
      </w:pPr>
      <w:r>
        <w:t>Dans le cas où l’étudiant(e)/élève met fin à ses études et/ou en cas de non obtention du diplôme d’Etat, l’engagement de servir est rompu de plein droit et il/elle rembourse à l’établissement la totalité des sommes qui lui ont été allouées</w:t>
      </w:r>
      <w:r w:rsidR="00886C42">
        <w:t xml:space="preserve"> sous forme d’allocation d’études</w:t>
      </w:r>
      <w:r>
        <w:t xml:space="preserve">. </w:t>
      </w:r>
    </w:p>
    <w:p w:rsidR="00A52A2D" w:rsidRDefault="001A0BB4" w:rsidP="006104B2">
      <w:pPr>
        <w:pStyle w:val="Paragraphedeliste"/>
        <w:numPr>
          <w:ilvl w:val="0"/>
          <w:numId w:val="24"/>
        </w:numPr>
        <w:jc w:val="both"/>
      </w:pPr>
      <w:r>
        <w:t>Seu</w:t>
      </w:r>
      <w:r w:rsidR="006104B2">
        <w:t>l le cas d’arrêt des études lié</w:t>
      </w:r>
      <w:r>
        <w:t xml:space="preserve"> à une inaptitude constatée médicalement, dégage l’étudiant(e)/élève du remboursement.</w:t>
      </w:r>
    </w:p>
    <w:p w:rsidR="00C21C93" w:rsidRDefault="00C21C93" w:rsidP="00C21C93">
      <w:pPr>
        <w:pStyle w:val="Paragraphedeliste"/>
      </w:pPr>
    </w:p>
    <w:p w:rsidR="00C21C93" w:rsidRPr="003C4B11" w:rsidRDefault="00C21C93" w:rsidP="00C21C93">
      <w:pPr>
        <w:pStyle w:val="Paragraphedeliste"/>
        <w:numPr>
          <w:ilvl w:val="0"/>
          <w:numId w:val="22"/>
        </w:numPr>
        <w:rPr>
          <w:b/>
        </w:rPr>
      </w:pPr>
      <w:r w:rsidRPr="003C4B11">
        <w:rPr>
          <w:b/>
        </w:rPr>
        <w:t>Après obtention du diplôme par l’étudiant(e), un contrat de travail d’une durée de 18 mois est établi entre l’établissement et l’étudiant(e), le type de contrat restant à la discrétion de l’établissement</w:t>
      </w:r>
      <w:r w:rsidR="00CB6988">
        <w:rPr>
          <w:b/>
        </w:rPr>
        <w:t xml:space="preserve"> (CDD, CDI…)</w:t>
      </w:r>
      <w:r w:rsidRPr="003C4B11">
        <w:rPr>
          <w:b/>
        </w:rPr>
        <w:t>.</w:t>
      </w:r>
    </w:p>
    <w:p w:rsidR="00C21C93" w:rsidRDefault="00C21C93" w:rsidP="00C21C93">
      <w:pPr>
        <w:ind w:left="360"/>
      </w:pPr>
      <w:r>
        <w:t>Les clauses éventuelles de rupture du contrat de travail sont prévues dans le contrat d’allocation d’études signé antérieurement</w:t>
      </w:r>
      <w:r w:rsidR="00F27737">
        <w:t xml:space="preserve"> </w:t>
      </w:r>
      <w:r>
        <w:t>:</w:t>
      </w:r>
    </w:p>
    <w:p w:rsidR="00C21C93" w:rsidRPr="00886C42" w:rsidRDefault="00C21C93" w:rsidP="00400B33">
      <w:pPr>
        <w:pStyle w:val="Paragraphedeliste"/>
        <w:numPr>
          <w:ilvl w:val="0"/>
          <w:numId w:val="25"/>
        </w:numPr>
        <w:jc w:val="both"/>
      </w:pPr>
      <w:r w:rsidRPr="00886C42">
        <w:t>E</w:t>
      </w:r>
      <w:r w:rsidR="00400B33">
        <w:t>n cas de refus par l’étudiant/élève diplômé</w:t>
      </w:r>
      <w:r w:rsidRPr="00886C42">
        <w:t xml:space="preserve"> de prendre un poste au </w:t>
      </w:r>
      <w:r w:rsidR="00400B33">
        <w:t>sein de l’établissement, ce dernier</w:t>
      </w:r>
      <w:r w:rsidRPr="00886C42">
        <w:t xml:space="preserve"> devra verser à l’établissement la totalité des sommes perçues pendant sa scolarité, accordées sous f</w:t>
      </w:r>
      <w:r w:rsidR="00400B33">
        <w:t>orme d’allocation</w:t>
      </w:r>
      <w:r w:rsidRPr="00886C42">
        <w:t xml:space="preserve"> d’études.</w:t>
      </w:r>
    </w:p>
    <w:p w:rsidR="00C21C93" w:rsidRDefault="00680D9E" w:rsidP="00400B33">
      <w:pPr>
        <w:pStyle w:val="Paragraphedeliste"/>
        <w:numPr>
          <w:ilvl w:val="0"/>
          <w:numId w:val="25"/>
        </w:numPr>
        <w:jc w:val="both"/>
      </w:pPr>
      <w:r>
        <w:t>L’étudiant(e)/</w:t>
      </w:r>
      <w:r w:rsidR="00C21C93" w:rsidRPr="00886C42">
        <w:t xml:space="preserve">élève ayant pris un poste au sein de l’établissement qui démissionne ou abandonne son poste (ou autre </w:t>
      </w:r>
      <w:r w:rsidR="00C21C93">
        <w:t xml:space="preserve">interruption volontaire </w:t>
      </w:r>
      <w:r w:rsidR="00C21C93" w:rsidRPr="00886C42">
        <w:t>à préciser) avant le terme de son engagement de servir sera redevable envers l’établissement de la totalité des sommes perçues pendant sa scolarité, accordées sous forme d’allocation d’études.</w:t>
      </w:r>
    </w:p>
    <w:p w:rsidR="00C21C93" w:rsidRDefault="00C21C93" w:rsidP="00400B33">
      <w:pPr>
        <w:pStyle w:val="Paragraphedeliste"/>
        <w:numPr>
          <w:ilvl w:val="0"/>
          <w:numId w:val="25"/>
        </w:numPr>
        <w:jc w:val="both"/>
      </w:pPr>
      <w:r>
        <w:t>Dans le cas où l’établissement souhaite rompre le contrat de travail, aucune modalité de reversement des sommes</w:t>
      </w:r>
      <w:r w:rsidRPr="00886C42">
        <w:t xml:space="preserve"> perçues pendant </w:t>
      </w:r>
      <w:r>
        <w:t>la</w:t>
      </w:r>
      <w:r w:rsidRPr="00886C42">
        <w:t xml:space="preserve"> scolarité</w:t>
      </w:r>
      <w:r>
        <w:t xml:space="preserve"> de l’étudiant(e) n’est prévue.</w:t>
      </w:r>
      <w:r w:rsidR="00400B33">
        <w:t xml:space="preserve"> Les modalités de rupture sont celles liées aux clauses du contrat de travail.</w:t>
      </w:r>
    </w:p>
    <w:p w:rsidR="00C21C93" w:rsidRPr="00C21C93" w:rsidRDefault="00C21C93" w:rsidP="00D446B6">
      <w:pPr>
        <w:jc w:val="both"/>
        <w:rPr>
          <w:rFonts w:ascii="Calibri" w:eastAsia="Times New Roman" w:hAnsi="Calibri" w:cs="Calibri"/>
          <w:lang w:eastAsia="fr-FR"/>
        </w:rPr>
      </w:pPr>
      <w:r>
        <w:t xml:space="preserve">L’établissement est en </w:t>
      </w:r>
      <w:r w:rsidR="009D00B0">
        <w:t>charge de récupérer les crédits.</w:t>
      </w:r>
    </w:p>
    <w:p w:rsidR="00C21C93" w:rsidRPr="00C21C93" w:rsidRDefault="00C21C93" w:rsidP="00C21C93">
      <w:pPr>
        <w:rPr>
          <w:b/>
          <w:color w:val="4472C4" w:themeColor="accent5"/>
          <w:u w:val="single"/>
        </w:rPr>
      </w:pPr>
      <w:r w:rsidRPr="00C21C93">
        <w:rPr>
          <w:b/>
          <w:color w:val="4472C4" w:themeColor="accent5"/>
          <w:u w:val="single"/>
        </w:rPr>
        <w:t>Les stages</w:t>
      </w:r>
      <w:r>
        <w:rPr>
          <w:b/>
          <w:color w:val="4472C4" w:themeColor="accent5"/>
          <w:u w:val="single"/>
        </w:rPr>
        <w:t xml:space="preserve"> à</w:t>
      </w:r>
      <w:r w:rsidRPr="00C21C93">
        <w:rPr>
          <w:b/>
          <w:color w:val="4472C4" w:themeColor="accent5"/>
          <w:u w:val="single"/>
        </w:rPr>
        <w:t xml:space="preserve"> effectu</w:t>
      </w:r>
      <w:r>
        <w:rPr>
          <w:b/>
          <w:color w:val="4472C4" w:themeColor="accent5"/>
          <w:u w:val="single"/>
        </w:rPr>
        <w:t>er</w:t>
      </w:r>
      <w:r w:rsidRPr="00C21C93">
        <w:rPr>
          <w:b/>
          <w:color w:val="4472C4" w:themeColor="accent5"/>
          <w:u w:val="single"/>
        </w:rPr>
        <w:t xml:space="preserve"> pendant la</w:t>
      </w:r>
      <w:r>
        <w:rPr>
          <w:b/>
          <w:color w:val="4472C4" w:themeColor="accent5"/>
          <w:u w:val="single"/>
        </w:rPr>
        <w:t xml:space="preserve"> dernière année de</w:t>
      </w:r>
      <w:r w:rsidRPr="00C21C93">
        <w:rPr>
          <w:b/>
          <w:color w:val="4472C4" w:themeColor="accent5"/>
          <w:u w:val="single"/>
        </w:rPr>
        <w:t xml:space="preserve"> formation doivent-ils être effectués dans l’établissement où l’étudiant a signé son CAE ?</w:t>
      </w:r>
    </w:p>
    <w:p w:rsidR="00DE7191" w:rsidRDefault="00C21C93" w:rsidP="000E1AB0">
      <w:pPr>
        <w:jc w:val="both"/>
      </w:pPr>
      <w:r>
        <w:t>Le</w:t>
      </w:r>
      <w:r w:rsidR="00C201DA">
        <w:t xml:space="preserve"> contrat d’al</w:t>
      </w:r>
      <w:r w:rsidR="000E1AB0">
        <w:t xml:space="preserve">location d’études est </w:t>
      </w:r>
      <w:proofErr w:type="spellStart"/>
      <w:r w:rsidR="000E1AB0">
        <w:t>décorrelé</w:t>
      </w:r>
      <w:proofErr w:type="spellEnd"/>
      <w:r w:rsidR="00C201DA">
        <w:t xml:space="preserve"> de la notion de stage au sein de l’établissement pendant sa dernière année d’études. Pour tout stage effectué au sein de l’établissement, une convention de stage doit être établie en parallèle du contrat </w:t>
      </w:r>
      <w:r w:rsidR="0045295C">
        <w:t>CAE.</w:t>
      </w:r>
    </w:p>
    <w:p w:rsidR="00DE7191" w:rsidRDefault="00DE7191" w:rsidP="006E43CD">
      <w:pPr>
        <w:spacing w:after="0"/>
        <w:rPr>
          <w:b/>
          <w:color w:val="4472C4" w:themeColor="accent5"/>
          <w:u w:val="single"/>
        </w:rPr>
      </w:pPr>
      <w:r w:rsidRPr="00DE7191">
        <w:rPr>
          <w:b/>
          <w:color w:val="4472C4" w:themeColor="accent5"/>
          <w:u w:val="single"/>
        </w:rPr>
        <w:t>Comment sont instruits les dossiers ?</w:t>
      </w:r>
    </w:p>
    <w:p w:rsidR="00DE7191" w:rsidRPr="00DE7191" w:rsidRDefault="00DE7191" w:rsidP="006E43CD">
      <w:pPr>
        <w:spacing w:after="0"/>
        <w:rPr>
          <w:b/>
          <w:color w:val="4472C4" w:themeColor="accent5"/>
          <w:u w:val="single"/>
        </w:rPr>
      </w:pPr>
    </w:p>
    <w:p w:rsidR="006E43CD" w:rsidRDefault="006E43CD" w:rsidP="000E1AB0">
      <w:pPr>
        <w:jc w:val="both"/>
      </w:pPr>
      <w:r w:rsidRPr="009A2571">
        <w:rPr>
          <w:b/>
        </w:rPr>
        <w:t>1)</w:t>
      </w:r>
      <w:r>
        <w:t xml:space="preserve"> </w:t>
      </w:r>
      <w:r w:rsidRPr="00A52A2D">
        <w:rPr>
          <w:b/>
        </w:rPr>
        <w:t>Un appel à candidatures</w:t>
      </w:r>
      <w:r>
        <w:t xml:space="preserve"> est lancé par l’Agence Régionale de Santé auprès des établissements précités et assure une communication du dispositif auprès des instituts et organismes de formations. </w:t>
      </w:r>
    </w:p>
    <w:p w:rsidR="006E43CD" w:rsidRDefault="006E43CD" w:rsidP="000E1AB0">
      <w:pPr>
        <w:jc w:val="both"/>
      </w:pPr>
      <w:r w:rsidRPr="009A2571">
        <w:rPr>
          <w:b/>
        </w:rPr>
        <w:t>2)</w:t>
      </w:r>
      <w:r>
        <w:t xml:space="preserve"> Les établissements doivent déposer leur dossier dès signature du contrat, sur deux plateformes dédiées </w:t>
      </w:r>
      <w:r w:rsidRPr="006E43CD">
        <w:rPr>
          <w:b/>
        </w:rPr>
        <w:t>jusqu’au 15 Octobre 2022</w:t>
      </w:r>
      <w:r>
        <w:t xml:space="preserve"> : </w:t>
      </w:r>
    </w:p>
    <w:p w:rsidR="006E43CD" w:rsidRDefault="006E43CD" w:rsidP="006E43CD">
      <w:pPr>
        <w:pStyle w:val="Paragraphedeliste"/>
        <w:numPr>
          <w:ilvl w:val="0"/>
          <w:numId w:val="16"/>
        </w:numPr>
      </w:pPr>
      <w:r>
        <w:lastRenderedPageBreak/>
        <w:t xml:space="preserve">Pour les établissements sanitaires : </w:t>
      </w:r>
      <w:hyperlink r:id="rId7" w:history="1">
        <w:r w:rsidRPr="006B0BCC">
          <w:rPr>
            <w:rStyle w:val="Lienhypertexte"/>
          </w:rPr>
          <w:t>https://www.demarches-simplifiees.fr/commencer/cae2022-secteur-sanitaire</w:t>
        </w:r>
      </w:hyperlink>
    </w:p>
    <w:p w:rsidR="006E43CD" w:rsidRDefault="006E43CD" w:rsidP="006E43CD">
      <w:pPr>
        <w:pStyle w:val="Paragraphedeliste"/>
      </w:pPr>
    </w:p>
    <w:p w:rsidR="00477FE2" w:rsidRPr="000E1AB0" w:rsidRDefault="006E43CD" w:rsidP="00D500B4">
      <w:pPr>
        <w:pStyle w:val="Paragraphedeliste"/>
        <w:numPr>
          <w:ilvl w:val="0"/>
          <w:numId w:val="16"/>
        </w:numPr>
        <w:rPr>
          <w:rStyle w:val="Lienhypertexte"/>
          <w:color w:val="auto"/>
          <w:u w:val="none"/>
        </w:rPr>
      </w:pPr>
      <w:r>
        <w:t xml:space="preserve">Pour les </w:t>
      </w:r>
      <w:r w:rsidR="00D500B4">
        <w:t>é</w:t>
      </w:r>
      <w:r w:rsidR="00D500B4" w:rsidRPr="00D500B4">
        <w:t>tablissements et services médico-sociaux financés ou co-f</w:t>
      </w:r>
      <w:r w:rsidR="00D500B4">
        <w:t>inancés par l’Assurance-maladie</w:t>
      </w:r>
      <w:r w:rsidR="00D500B4" w:rsidRPr="00D500B4">
        <w:t xml:space="preserve"> (secteurs Personnes âgées et personnes en situation de handicap)</w:t>
      </w:r>
      <w:r w:rsidR="00D500B4">
        <w:t xml:space="preserve"> : </w:t>
      </w:r>
      <w:hyperlink r:id="rId8" w:history="1">
        <w:r w:rsidRPr="006B0BCC">
          <w:rPr>
            <w:rStyle w:val="Lienhypertexte"/>
          </w:rPr>
          <w:t>https://www.demarchessimplifiees.fr/commencer/cae-2022-secteur-medico-social</w:t>
        </w:r>
      </w:hyperlink>
    </w:p>
    <w:p w:rsidR="000E1AB0" w:rsidRDefault="000E1AB0" w:rsidP="009A2571"/>
    <w:p w:rsidR="006E43CD" w:rsidRDefault="006E43CD" w:rsidP="000E1AB0">
      <w:pPr>
        <w:jc w:val="both"/>
      </w:pPr>
      <w:r w:rsidRPr="006E43CD">
        <w:t>Les dossiers de candidatures complétés et déposés en ligne doivent être constitués de</w:t>
      </w:r>
      <w:r w:rsidRPr="006E43CD">
        <w:rPr>
          <w:b/>
        </w:rPr>
        <w:t xml:space="preserve"> 3 pièces obligatoires</w:t>
      </w:r>
      <w:r w:rsidR="00A52A2D">
        <w:t> :</w:t>
      </w:r>
    </w:p>
    <w:p w:rsidR="006E43CD" w:rsidRPr="00F27737" w:rsidRDefault="006E43CD" w:rsidP="006E43CD">
      <w:pPr>
        <w:ind w:left="708"/>
        <w:rPr>
          <w:b/>
        </w:rPr>
      </w:pPr>
      <w:r w:rsidRPr="009A2571">
        <w:rPr>
          <w:b/>
        </w:rPr>
        <w:t>1</w:t>
      </w:r>
      <w:r w:rsidRPr="00F27737">
        <w:rPr>
          <w:b/>
        </w:rPr>
        <w:t xml:space="preserve">. Le contrat d’allocation d’études (CAE) </w:t>
      </w:r>
      <w:r w:rsidR="000E1AB0" w:rsidRPr="00F27737">
        <w:rPr>
          <w:b/>
        </w:rPr>
        <w:t>dument signé entre l’étudiant</w:t>
      </w:r>
      <w:r w:rsidRPr="00F27737">
        <w:rPr>
          <w:b/>
        </w:rPr>
        <w:t xml:space="preserve">/élève et l’établissement </w:t>
      </w:r>
    </w:p>
    <w:p w:rsidR="006E43CD" w:rsidRPr="00F27737" w:rsidRDefault="006E43CD" w:rsidP="006E43CD">
      <w:pPr>
        <w:pStyle w:val="Paragraphedeliste"/>
        <w:numPr>
          <w:ilvl w:val="0"/>
          <w:numId w:val="19"/>
        </w:numPr>
      </w:pPr>
      <w:r w:rsidRPr="00F27737">
        <w:t>Signatures des deux parties obligatoires</w:t>
      </w:r>
    </w:p>
    <w:p w:rsidR="006E43CD" w:rsidRPr="00F27737" w:rsidRDefault="006E43CD" w:rsidP="006E43CD">
      <w:pPr>
        <w:ind w:left="708"/>
        <w:rPr>
          <w:b/>
        </w:rPr>
      </w:pPr>
      <w:r w:rsidRPr="00F27737">
        <w:rPr>
          <w:b/>
        </w:rPr>
        <w:t>2. La photocopie du document d’identité (recto/</w:t>
      </w:r>
      <w:r w:rsidR="000E1AB0" w:rsidRPr="00F27737">
        <w:rPr>
          <w:b/>
        </w:rPr>
        <w:t>verso) de l’étudiant</w:t>
      </w:r>
      <w:r w:rsidR="00477FE2" w:rsidRPr="00F27737">
        <w:rPr>
          <w:b/>
        </w:rPr>
        <w:t xml:space="preserve">/élève </w:t>
      </w:r>
    </w:p>
    <w:p w:rsidR="006E43CD" w:rsidRPr="00F27737" w:rsidRDefault="006E43CD" w:rsidP="006E43CD">
      <w:pPr>
        <w:pStyle w:val="Paragraphedeliste"/>
        <w:numPr>
          <w:ilvl w:val="0"/>
          <w:numId w:val="17"/>
        </w:numPr>
      </w:pPr>
      <w:r w:rsidRPr="00F27737">
        <w:t xml:space="preserve">Carte d’identité à jour </w:t>
      </w:r>
    </w:p>
    <w:p w:rsidR="006E43CD" w:rsidRPr="00F27737" w:rsidRDefault="006E43CD" w:rsidP="006E43CD">
      <w:pPr>
        <w:pStyle w:val="Paragraphedeliste"/>
        <w:numPr>
          <w:ilvl w:val="0"/>
          <w:numId w:val="17"/>
        </w:numPr>
      </w:pPr>
      <w:r w:rsidRPr="00F27737">
        <w:t>Passeport à jour</w:t>
      </w:r>
    </w:p>
    <w:p w:rsidR="006E43CD" w:rsidRPr="00F27737" w:rsidRDefault="006E43CD" w:rsidP="006E43CD">
      <w:pPr>
        <w:pStyle w:val="Paragraphedeliste"/>
        <w:numPr>
          <w:ilvl w:val="0"/>
          <w:numId w:val="17"/>
        </w:numPr>
      </w:pPr>
      <w:r w:rsidRPr="00F27737">
        <w:t>Titre de séjour à jour (ou récépissé de demande de renouvellement)</w:t>
      </w:r>
    </w:p>
    <w:p w:rsidR="006E43CD" w:rsidRPr="00F27737" w:rsidRDefault="006E43CD" w:rsidP="006E43CD">
      <w:pPr>
        <w:ind w:left="708"/>
        <w:rPr>
          <w:b/>
        </w:rPr>
      </w:pPr>
      <w:r w:rsidRPr="00F27737">
        <w:rPr>
          <w:b/>
        </w:rPr>
        <w:t>3. Le certific</w:t>
      </w:r>
      <w:r w:rsidR="000E1AB0" w:rsidRPr="00F27737">
        <w:rPr>
          <w:b/>
        </w:rPr>
        <w:t>at de scolarité de</w:t>
      </w:r>
      <w:r w:rsidR="009A2571" w:rsidRPr="00F27737">
        <w:rPr>
          <w:b/>
          <w:color w:val="FF0000"/>
        </w:rPr>
        <w:t xml:space="preserve"> dernière année </w:t>
      </w:r>
      <w:r w:rsidR="009A2571" w:rsidRPr="00F27737">
        <w:rPr>
          <w:b/>
        </w:rPr>
        <w:t>exclusivement de</w:t>
      </w:r>
      <w:r w:rsidR="000E1AB0" w:rsidRPr="00F27737">
        <w:rPr>
          <w:b/>
        </w:rPr>
        <w:t xml:space="preserve"> l’étudiant</w:t>
      </w:r>
      <w:r w:rsidRPr="00F27737">
        <w:rPr>
          <w:b/>
        </w:rPr>
        <w:t xml:space="preserve">/élève </w:t>
      </w:r>
    </w:p>
    <w:p w:rsidR="006E43CD" w:rsidRDefault="000E1AB0" w:rsidP="000E1AB0">
      <w:pPr>
        <w:pStyle w:val="Paragraphedeliste"/>
        <w:numPr>
          <w:ilvl w:val="0"/>
          <w:numId w:val="18"/>
        </w:numPr>
        <w:jc w:val="both"/>
      </w:pPr>
      <w:r>
        <w:t>Précision qu’il</w:t>
      </w:r>
      <w:r w:rsidR="006E43CD">
        <w:t xml:space="preserve"> est en dernière année de formation obliga</w:t>
      </w:r>
      <w:r>
        <w:t>toire (sauf pour les étudiants Aide-soignant)</w:t>
      </w:r>
    </w:p>
    <w:p w:rsidR="007F2B31" w:rsidRDefault="000E1AB0" w:rsidP="000E1AB0">
      <w:pPr>
        <w:pStyle w:val="Paragraphedeliste"/>
        <w:numPr>
          <w:ilvl w:val="0"/>
          <w:numId w:val="18"/>
        </w:numPr>
        <w:jc w:val="both"/>
      </w:pPr>
      <w:r>
        <w:t>Pour les étudiant</w:t>
      </w:r>
      <w:r w:rsidR="006E43CD">
        <w:t>s Sages-Femmes : le certificat attendu est le certificat signé par la Direction de l’école de Sage-femme ou le Département de maïeutique</w:t>
      </w:r>
    </w:p>
    <w:p w:rsidR="00477FE2" w:rsidRDefault="00477FE2" w:rsidP="008F7FCB">
      <w:r w:rsidRPr="009A2571">
        <w:rPr>
          <w:b/>
        </w:rPr>
        <w:t>3)</w:t>
      </w:r>
      <w:r>
        <w:t xml:space="preserve"> Les dossiers seront examinés au fil de l’eau et financés sous réserve de respect des critères suivants : </w:t>
      </w:r>
    </w:p>
    <w:p w:rsidR="00477FE2" w:rsidRDefault="00477FE2" w:rsidP="000E1AB0">
      <w:pPr>
        <w:pStyle w:val="Paragraphedeliste"/>
        <w:numPr>
          <w:ilvl w:val="0"/>
          <w:numId w:val="20"/>
        </w:numPr>
        <w:jc w:val="both"/>
      </w:pPr>
      <w:r>
        <w:t xml:space="preserve">Complétude du dossier </w:t>
      </w:r>
    </w:p>
    <w:p w:rsidR="00477FE2" w:rsidRDefault="00477FE2" w:rsidP="000E1AB0">
      <w:pPr>
        <w:pStyle w:val="Paragraphedeliste"/>
        <w:numPr>
          <w:ilvl w:val="0"/>
          <w:numId w:val="20"/>
        </w:numPr>
        <w:jc w:val="both"/>
      </w:pPr>
      <w:r>
        <w:t xml:space="preserve">Limite des crédits accordés dans le cadre du Fonds d’Intervention Régional (FIR) </w:t>
      </w:r>
    </w:p>
    <w:p w:rsidR="006C049B" w:rsidRDefault="00477FE2" w:rsidP="00D500B4">
      <w:pPr>
        <w:pStyle w:val="Paragraphedeliste"/>
        <w:numPr>
          <w:ilvl w:val="0"/>
          <w:numId w:val="20"/>
        </w:numPr>
        <w:jc w:val="both"/>
      </w:pPr>
      <w:r>
        <w:t xml:space="preserve">Respect de l’équilibre entre les établissements sanitaires, </w:t>
      </w:r>
      <w:r w:rsidR="00D500B4">
        <w:t>é</w:t>
      </w:r>
      <w:r w:rsidR="00D500B4" w:rsidRPr="00D500B4">
        <w:t>tablissements et services médico-sociaux financés ou co-financés par l’Assurance-maladie</w:t>
      </w:r>
      <w:r w:rsidR="00D500B4">
        <w:t xml:space="preserve"> </w:t>
      </w:r>
      <w:r>
        <w:t>et entre les 8 départements franciliens</w:t>
      </w:r>
    </w:p>
    <w:p w:rsidR="003C4B11" w:rsidRDefault="003C4B11" w:rsidP="003C4B11">
      <w:pPr>
        <w:pStyle w:val="Paragraphedeliste"/>
      </w:pPr>
    </w:p>
    <w:p w:rsidR="003C4B11" w:rsidRPr="00DE7191" w:rsidRDefault="00DE7191" w:rsidP="00DE7191">
      <w:pPr>
        <w:rPr>
          <w:rFonts w:ascii="Calibri" w:eastAsiaTheme="majorEastAsia" w:hAnsi="Calibri" w:cstheme="majorBidi"/>
          <w:b/>
          <w:color w:val="4472C4" w:themeColor="accent5"/>
          <w:sz w:val="24"/>
          <w:szCs w:val="32"/>
          <w:u w:val="single"/>
        </w:rPr>
      </w:pPr>
      <w:r w:rsidRPr="00DE7191">
        <w:rPr>
          <w:rFonts w:ascii="Calibri" w:eastAsiaTheme="majorEastAsia" w:hAnsi="Calibri" w:cstheme="majorBidi"/>
          <w:b/>
          <w:color w:val="4472C4" w:themeColor="accent5"/>
          <w:sz w:val="24"/>
          <w:szCs w:val="32"/>
          <w:u w:val="single"/>
        </w:rPr>
        <w:t xml:space="preserve">Est-ce qu’il y a un quota par </w:t>
      </w:r>
      <w:r w:rsidR="000E1AB0">
        <w:rPr>
          <w:rFonts w:ascii="Calibri" w:eastAsiaTheme="majorEastAsia" w:hAnsi="Calibri" w:cstheme="majorBidi"/>
          <w:b/>
          <w:color w:val="4472C4" w:themeColor="accent5"/>
          <w:sz w:val="24"/>
          <w:szCs w:val="32"/>
          <w:u w:val="single"/>
        </w:rPr>
        <w:t>établissement</w:t>
      </w:r>
      <w:r w:rsidRPr="00DE7191">
        <w:rPr>
          <w:rFonts w:ascii="Calibri" w:eastAsiaTheme="majorEastAsia" w:hAnsi="Calibri" w:cstheme="majorBidi"/>
          <w:b/>
          <w:color w:val="4472C4" w:themeColor="accent5"/>
          <w:sz w:val="24"/>
          <w:szCs w:val="32"/>
          <w:u w:val="single"/>
        </w:rPr>
        <w:t> ?</w:t>
      </w:r>
    </w:p>
    <w:p w:rsidR="003C4B11" w:rsidRPr="003C4B11" w:rsidRDefault="003C4B11" w:rsidP="000E1AB0">
      <w:pPr>
        <w:jc w:val="both"/>
      </w:pPr>
      <w:r w:rsidRPr="003C4B11">
        <w:t>A la différence des campagnes précédentes, le nombre maximal de dossiers par établissement n’est pas déterminé par l’ARS.</w:t>
      </w:r>
    </w:p>
    <w:p w:rsidR="003C4B11" w:rsidRPr="00302661" w:rsidRDefault="003C4B11" w:rsidP="00D500B4">
      <w:pPr>
        <w:tabs>
          <w:tab w:val="left" w:pos="3119"/>
        </w:tabs>
        <w:jc w:val="both"/>
      </w:pPr>
      <w:r w:rsidRPr="003C4B11">
        <w:t xml:space="preserve">Toutefois, les dossiers examinés sur la plateforme seront effectivement validés au fil de l’eau et financés sous réserve du respect de l’équilibre des quotas déterminés entre les établissements sanitaires, </w:t>
      </w:r>
      <w:r w:rsidR="00D500B4">
        <w:t>é</w:t>
      </w:r>
      <w:r w:rsidR="00D500B4" w:rsidRPr="00D500B4">
        <w:t>tablissements et services médico-sociaux financés ou co-f</w:t>
      </w:r>
      <w:r w:rsidR="00D500B4">
        <w:t>inancés par l’Assurance-maladie</w:t>
      </w:r>
      <w:r w:rsidR="00D500B4" w:rsidRPr="00D500B4">
        <w:t xml:space="preserve"> (secteurs Personnes âgées et personnes en situation de handicap)</w:t>
      </w:r>
      <w:r w:rsidR="00D500B4">
        <w:t> </w:t>
      </w:r>
      <w:r w:rsidRPr="003C4B11">
        <w:t>et entre les 8 départements franciliens.</w:t>
      </w:r>
    </w:p>
    <w:p w:rsidR="00074BD2" w:rsidRPr="00DE7191" w:rsidRDefault="00106776" w:rsidP="00DE7191">
      <w:pPr>
        <w:rPr>
          <w:b/>
          <w:color w:val="4472C4" w:themeColor="accent5"/>
          <w:u w:val="single"/>
        </w:rPr>
      </w:pPr>
      <w:r>
        <w:rPr>
          <w:b/>
          <w:color w:val="4472C4" w:themeColor="accent5"/>
          <w:u w:val="single"/>
        </w:rPr>
        <w:t>Quelles sont les modalités de financement du CAE ?</w:t>
      </w:r>
    </w:p>
    <w:p w:rsidR="00C719E7" w:rsidRDefault="009F414B" w:rsidP="00074BD2">
      <w:pPr>
        <w:spacing w:after="0"/>
      </w:pPr>
      <w:r>
        <w:t>Pour l’année 2022</w:t>
      </w:r>
      <w:r w:rsidR="00074BD2">
        <w:t xml:space="preserve">, </w:t>
      </w:r>
      <w:r w:rsidR="00D66A03">
        <w:t xml:space="preserve">le </w:t>
      </w:r>
      <w:r w:rsidR="00D66A03" w:rsidRPr="00302661">
        <w:rPr>
          <w:b/>
        </w:rPr>
        <w:t>montant l’allocation</w:t>
      </w:r>
      <w:r w:rsidR="00074BD2" w:rsidRPr="00302661">
        <w:rPr>
          <w:b/>
        </w:rPr>
        <w:t xml:space="preserve"> </w:t>
      </w:r>
      <w:r w:rsidR="00D66A03" w:rsidRPr="00302661">
        <w:rPr>
          <w:b/>
        </w:rPr>
        <w:t>d’étude est co-financé</w:t>
      </w:r>
      <w:r w:rsidR="00D66A03">
        <w:t xml:space="preserve"> entre :</w:t>
      </w:r>
    </w:p>
    <w:p w:rsidR="00C719E7" w:rsidRDefault="00C719E7" w:rsidP="00074BD2">
      <w:pPr>
        <w:spacing w:after="0"/>
      </w:pPr>
    </w:p>
    <w:p w:rsidR="00074BD2" w:rsidRDefault="00D66A03" w:rsidP="00D66A03">
      <w:pPr>
        <w:pStyle w:val="Paragraphedeliste"/>
        <w:numPr>
          <w:ilvl w:val="0"/>
          <w:numId w:val="7"/>
        </w:numPr>
        <w:spacing w:after="0"/>
      </w:pPr>
      <w:r>
        <w:t>L’Agence Régionale de Santé : à hauteur de 60% du coût de l’allocation total</w:t>
      </w:r>
    </w:p>
    <w:p w:rsidR="00C719E7" w:rsidRDefault="00C719E7" w:rsidP="00C719E7">
      <w:pPr>
        <w:pStyle w:val="Paragraphedeliste"/>
        <w:spacing w:after="0"/>
        <w:ind w:left="770"/>
      </w:pPr>
    </w:p>
    <w:p w:rsidR="00D66A03" w:rsidRPr="00074BD2" w:rsidRDefault="00D66A03" w:rsidP="00D66A03">
      <w:pPr>
        <w:pStyle w:val="Paragraphedeliste"/>
        <w:numPr>
          <w:ilvl w:val="0"/>
          <w:numId w:val="7"/>
        </w:numPr>
        <w:spacing w:after="0"/>
      </w:pPr>
      <w:r>
        <w:t xml:space="preserve">L’établissement : à hauteur de 40% du coût total de l’allocation d’études </w:t>
      </w:r>
    </w:p>
    <w:p w:rsidR="00D66A03" w:rsidRDefault="00D66A03" w:rsidP="00074BD2">
      <w:pPr>
        <w:spacing w:after="0"/>
        <w:rPr>
          <w:b/>
        </w:rPr>
      </w:pPr>
    </w:p>
    <w:p w:rsidR="00106776" w:rsidRPr="00106776" w:rsidRDefault="00106776" w:rsidP="00074BD2">
      <w:pPr>
        <w:spacing w:after="0"/>
        <w:rPr>
          <w:b/>
          <w:color w:val="4472C4" w:themeColor="accent5"/>
          <w:u w:val="single"/>
        </w:rPr>
      </w:pPr>
      <w:r w:rsidRPr="00106776">
        <w:rPr>
          <w:b/>
          <w:color w:val="4472C4" w:themeColor="accent5"/>
          <w:u w:val="single"/>
        </w:rPr>
        <w:t>Comment et par qui est versée l’allocation d’études à l’étudiant ?</w:t>
      </w:r>
    </w:p>
    <w:p w:rsidR="00106776" w:rsidRPr="002E5BC6" w:rsidRDefault="00106776" w:rsidP="00074BD2">
      <w:pPr>
        <w:spacing w:after="0"/>
        <w:rPr>
          <w:b/>
        </w:rPr>
      </w:pPr>
    </w:p>
    <w:p w:rsidR="00D66A03" w:rsidRDefault="00456879" w:rsidP="008F7FCB">
      <w:r w:rsidRPr="002E5BC6">
        <w:rPr>
          <w:b/>
        </w:rPr>
        <w:lastRenderedPageBreak/>
        <w:t>L</w:t>
      </w:r>
      <w:r w:rsidR="002E5BC6" w:rsidRPr="002E5BC6">
        <w:rPr>
          <w:b/>
        </w:rPr>
        <w:t>es modalités de versement de</w:t>
      </w:r>
      <w:r w:rsidRPr="002E5BC6">
        <w:rPr>
          <w:b/>
        </w:rPr>
        <w:t xml:space="preserve"> l’</w:t>
      </w:r>
      <w:r w:rsidR="002E5BC6" w:rsidRPr="002E5BC6">
        <w:rPr>
          <w:b/>
        </w:rPr>
        <w:t>allocation</w:t>
      </w:r>
      <w:r w:rsidR="002E5BC6">
        <w:t xml:space="preserve"> doivent être précisées dans le contrat d’allocation d’études. Ce financement versé</w:t>
      </w:r>
      <w:r>
        <w:t xml:space="preserve"> directement par l’établissement </w:t>
      </w:r>
      <w:r w:rsidR="001C7557">
        <w:t xml:space="preserve">à l’étudiant est prévu </w:t>
      </w:r>
      <w:r>
        <w:t>selon le calendrier suivant :</w:t>
      </w:r>
    </w:p>
    <w:p w:rsidR="00456879" w:rsidRDefault="00456879" w:rsidP="009F414B">
      <w:pPr>
        <w:pStyle w:val="Paragraphedeliste"/>
        <w:numPr>
          <w:ilvl w:val="0"/>
          <w:numId w:val="8"/>
        </w:numPr>
        <w:jc w:val="both"/>
      </w:pPr>
      <w:r>
        <w:t>Une première partie à hauteur de 60% est versée par l’établissement à l’étudiant dès la signature du contrat. Le</w:t>
      </w:r>
      <w:r w:rsidR="00167907">
        <w:t>s modalités de versement (mensualités</w:t>
      </w:r>
      <w:r>
        <w:t xml:space="preserve"> ou </w:t>
      </w:r>
      <w:r w:rsidR="00167907">
        <w:t xml:space="preserve">versement unique) </w:t>
      </w:r>
      <w:r>
        <w:t xml:space="preserve">doivent être précisées dans le contrat d’allocation d’études. </w:t>
      </w:r>
    </w:p>
    <w:p w:rsidR="00C719E7" w:rsidRDefault="00C719E7" w:rsidP="00C719E7">
      <w:pPr>
        <w:pStyle w:val="Paragraphedeliste"/>
      </w:pPr>
    </w:p>
    <w:p w:rsidR="006C049B" w:rsidRDefault="00456879" w:rsidP="009F414B">
      <w:pPr>
        <w:pStyle w:val="Paragraphedeliste"/>
        <w:numPr>
          <w:ilvl w:val="0"/>
          <w:numId w:val="8"/>
        </w:numPr>
        <w:jc w:val="both"/>
      </w:pPr>
      <w:r>
        <w:t>Une deuxième partie à hauteur</w:t>
      </w:r>
      <w:r w:rsidR="00167907">
        <w:t xml:space="preserve"> de 40% est versée par l’établissement à l’étudiant en versement unique</w:t>
      </w:r>
      <w:r w:rsidR="002C1D9F">
        <w:t xml:space="preserve"> à la fin des 18 mois d’engagement pendant le contrat de travail</w:t>
      </w:r>
      <w:r w:rsidR="009F414B">
        <w:t>.</w:t>
      </w:r>
    </w:p>
    <w:p w:rsidR="003C4B11" w:rsidRPr="00A52A2D" w:rsidRDefault="003C4B11" w:rsidP="003C4B11">
      <w:pPr>
        <w:pStyle w:val="Paragraphedeliste"/>
      </w:pPr>
    </w:p>
    <w:p w:rsidR="00106776" w:rsidRPr="00106776" w:rsidRDefault="00106776" w:rsidP="008F7FCB">
      <w:pPr>
        <w:rPr>
          <w:b/>
          <w:color w:val="4472C4" w:themeColor="accent5"/>
          <w:u w:val="single"/>
        </w:rPr>
      </w:pPr>
      <w:r w:rsidRPr="00106776">
        <w:rPr>
          <w:b/>
          <w:color w:val="4472C4" w:themeColor="accent5"/>
          <w:u w:val="single"/>
        </w:rPr>
        <w:t>Quel est le montant total de l’allocation ?</w:t>
      </w:r>
    </w:p>
    <w:p w:rsidR="00D66A03" w:rsidRDefault="006C049B" w:rsidP="008F7FCB">
      <w:r w:rsidRPr="00797317">
        <w:rPr>
          <w:b/>
        </w:rPr>
        <w:t>Le montant total de l’allocation</w:t>
      </w:r>
      <w:r>
        <w:t xml:space="preserve"> ainsi que les deux parties (60% et 40%) </w:t>
      </w:r>
      <w:r w:rsidRPr="006C049B">
        <w:t>est déterminé tel que :</w:t>
      </w:r>
    </w:p>
    <w:p w:rsidR="006C049B" w:rsidRPr="00797317" w:rsidRDefault="006C049B" w:rsidP="00797317">
      <w:pPr>
        <w:pStyle w:val="Paragraphedeliste"/>
        <w:numPr>
          <w:ilvl w:val="0"/>
          <w:numId w:val="13"/>
        </w:numPr>
        <w:rPr>
          <w:u w:val="single"/>
        </w:rPr>
      </w:pPr>
      <w:r w:rsidRPr="00797317">
        <w:rPr>
          <w:u w:val="single"/>
        </w:rPr>
        <w:t xml:space="preserve">Pour les établissements sanitaires </w:t>
      </w:r>
    </w:p>
    <w:tbl>
      <w:tblPr>
        <w:tblStyle w:val="Grilledutableau"/>
        <w:tblW w:w="10165" w:type="dxa"/>
        <w:tblInd w:w="-289" w:type="dxa"/>
        <w:tblLook w:val="04A0" w:firstRow="1" w:lastRow="0" w:firstColumn="1" w:lastColumn="0" w:noHBand="0" w:noVBand="1"/>
      </w:tblPr>
      <w:tblGrid>
        <w:gridCol w:w="1560"/>
        <w:gridCol w:w="1843"/>
        <w:gridCol w:w="3544"/>
        <w:gridCol w:w="3218"/>
      </w:tblGrid>
      <w:tr w:rsidR="007D4596" w:rsidRPr="005134F5" w:rsidTr="00476837">
        <w:trPr>
          <w:trHeight w:val="1447"/>
        </w:trPr>
        <w:tc>
          <w:tcPr>
            <w:tcW w:w="1560" w:type="dxa"/>
            <w:shd w:val="clear" w:color="auto" w:fill="D9E2F3" w:themeFill="accent5" w:themeFillTint="33"/>
            <w:vAlign w:val="center"/>
          </w:tcPr>
          <w:p w:rsidR="007D4596" w:rsidRPr="006F4873" w:rsidRDefault="007D4596" w:rsidP="00D55632">
            <w:pPr>
              <w:pStyle w:val="Default"/>
              <w:spacing w:line="276" w:lineRule="auto"/>
              <w:jc w:val="center"/>
              <w:rPr>
                <w:rFonts w:ascii="Arial" w:hAnsi="Arial" w:cs="Arial"/>
                <w:b/>
                <w:sz w:val="20"/>
                <w:szCs w:val="22"/>
              </w:rPr>
            </w:pPr>
            <w:r w:rsidRPr="006F4873">
              <w:rPr>
                <w:rFonts w:ascii="Arial" w:hAnsi="Arial" w:cs="Arial"/>
                <w:b/>
                <w:sz w:val="20"/>
                <w:szCs w:val="22"/>
              </w:rPr>
              <w:t>Métiers concernés</w:t>
            </w:r>
          </w:p>
        </w:tc>
        <w:tc>
          <w:tcPr>
            <w:tcW w:w="1843" w:type="dxa"/>
            <w:shd w:val="clear" w:color="auto" w:fill="D9E2F3" w:themeFill="accent5" w:themeFillTint="33"/>
            <w:vAlign w:val="center"/>
          </w:tcPr>
          <w:p w:rsidR="007D4596" w:rsidRPr="006F4873" w:rsidRDefault="007D4596" w:rsidP="00D55632">
            <w:pPr>
              <w:pStyle w:val="Default"/>
              <w:spacing w:line="276" w:lineRule="auto"/>
              <w:jc w:val="center"/>
              <w:rPr>
                <w:rFonts w:ascii="Arial" w:hAnsi="Arial" w:cs="Arial"/>
                <w:b/>
                <w:sz w:val="20"/>
                <w:szCs w:val="22"/>
              </w:rPr>
            </w:pPr>
            <w:r w:rsidRPr="006F4873">
              <w:rPr>
                <w:rFonts w:ascii="Arial" w:hAnsi="Arial" w:cs="Arial"/>
                <w:b/>
                <w:sz w:val="20"/>
                <w:szCs w:val="22"/>
              </w:rPr>
              <w:t xml:space="preserve">Montant total de l’allocation </w:t>
            </w:r>
          </w:p>
          <w:p w:rsidR="007D4596" w:rsidRPr="006F4873" w:rsidRDefault="007D4596" w:rsidP="00D55632">
            <w:pPr>
              <w:pStyle w:val="Default"/>
              <w:spacing w:line="276" w:lineRule="auto"/>
              <w:jc w:val="center"/>
              <w:rPr>
                <w:rFonts w:ascii="Arial" w:hAnsi="Arial" w:cs="Arial"/>
                <w:b/>
                <w:i/>
                <w:sz w:val="20"/>
                <w:szCs w:val="22"/>
              </w:rPr>
            </w:pPr>
            <w:r w:rsidRPr="006F4873">
              <w:rPr>
                <w:rFonts w:ascii="Arial" w:hAnsi="Arial" w:cs="Arial"/>
                <w:i/>
                <w:sz w:val="20"/>
                <w:szCs w:val="22"/>
              </w:rPr>
              <w:t>(en euros)</w:t>
            </w:r>
          </w:p>
        </w:tc>
        <w:tc>
          <w:tcPr>
            <w:tcW w:w="3544" w:type="dxa"/>
            <w:shd w:val="clear" w:color="auto" w:fill="D9E2F3" w:themeFill="accent5" w:themeFillTint="33"/>
            <w:vAlign w:val="center"/>
          </w:tcPr>
          <w:p w:rsidR="007D4596" w:rsidRPr="006F4873" w:rsidRDefault="007D4596" w:rsidP="00D55632">
            <w:pPr>
              <w:pStyle w:val="Default"/>
              <w:spacing w:line="276" w:lineRule="auto"/>
              <w:jc w:val="center"/>
              <w:rPr>
                <w:rFonts w:ascii="Arial" w:hAnsi="Arial" w:cs="Arial"/>
                <w:b/>
                <w:sz w:val="20"/>
                <w:szCs w:val="22"/>
              </w:rPr>
            </w:pPr>
            <w:r w:rsidRPr="006F4873">
              <w:rPr>
                <w:rFonts w:ascii="Arial" w:hAnsi="Arial" w:cs="Arial"/>
                <w:b/>
                <w:sz w:val="20"/>
                <w:szCs w:val="22"/>
              </w:rPr>
              <w:t xml:space="preserve">Montant </w:t>
            </w:r>
            <w:r w:rsidR="00476837">
              <w:rPr>
                <w:rFonts w:ascii="Arial" w:hAnsi="Arial" w:cs="Arial"/>
                <w:b/>
                <w:sz w:val="20"/>
                <w:szCs w:val="22"/>
              </w:rPr>
              <w:t xml:space="preserve">pris en charge </w:t>
            </w:r>
            <w:r w:rsidRPr="006F4873">
              <w:rPr>
                <w:rFonts w:ascii="Arial" w:hAnsi="Arial" w:cs="Arial"/>
                <w:b/>
                <w:sz w:val="20"/>
                <w:szCs w:val="22"/>
              </w:rPr>
              <w:t>par l’ARS</w:t>
            </w:r>
            <w:r>
              <w:rPr>
                <w:rFonts w:ascii="Arial" w:hAnsi="Arial" w:cs="Arial"/>
                <w:b/>
                <w:sz w:val="20"/>
                <w:szCs w:val="22"/>
              </w:rPr>
              <w:t xml:space="preserve"> : </w:t>
            </w:r>
          </w:p>
          <w:p w:rsidR="007D4596" w:rsidRPr="006F4873" w:rsidRDefault="007D4596" w:rsidP="00D55632">
            <w:pPr>
              <w:pStyle w:val="Default"/>
              <w:spacing w:line="276" w:lineRule="auto"/>
              <w:jc w:val="center"/>
              <w:rPr>
                <w:rFonts w:ascii="Arial" w:hAnsi="Arial" w:cs="Arial"/>
                <w:b/>
                <w:sz w:val="20"/>
                <w:szCs w:val="22"/>
              </w:rPr>
            </w:pPr>
            <w:r>
              <w:rPr>
                <w:rFonts w:ascii="Arial" w:hAnsi="Arial" w:cs="Arial"/>
                <w:b/>
                <w:sz w:val="20"/>
                <w:szCs w:val="22"/>
              </w:rPr>
              <w:t>Versé à</w:t>
            </w:r>
            <w:r w:rsidRPr="006F4873">
              <w:rPr>
                <w:rFonts w:ascii="Arial" w:hAnsi="Arial" w:cs="Arial"/>
                <w:b/>
                <w:sz w:val="20"/>
                <w:szCs w:val="22"/>
              </w:rPr>
              <w:t xml:space="preserve"> l’étudiant</w:t>
            </w:r>
            <w:r>
              <w:rPr>
                <w:rFonts w:ascii="Arial" w:hAnsi="Arial" w:cs="Arial"/>
                <w:b/>
                <w:sz w:val="20"/>
                <w:szCs w:val="22"/>
              </w:rPr>
              <w:t xml:space="preserve"> par l’établissement </w:t>
            </w:r>
            <w:r w:rsidRPr="006F4873">
              <w:rPr>
                <w:rFonts w:ascii="Arial" w:hAnsi="Arial" w:cs="Arial"/>
                <w:b/>
                <w:sz w:val="20"/>
                <w:szCs w:val="22"/>
              </w:rPr>
              <w:t xml:space="preserve">dès </w:t>
            </w:r>
            <w:r>
              <w:rPr>
                <w:rFonts w:ascii="Arial" w:hAnsi="Arial" w:cs="Arial"/>
                <w:b/>
                <w:sz w:val="20"/>
                <w:szCs w:val="22"/>
              </w:rPr>
              <w:t>la signature du contrat</w:t>
            </w:r>
          </w:p>
          <w:p w:rsidR="007D4596" w:rsidRPr="006F4873" w:rsidRDefault="007D4596" w:rsidP="00D55632">
            <w:pPr>
              <w:pStyle w:val="Default"/>
              <w:spacing w:line="276" w:lineRule="auto"/>
              <w:jc w:val="center"/>
              <w:rPr>
                <w:rFonts w:ascii="Arial" w:hAnsi="Arial" w:cs="Arial"/>
                <w:i/>
                <w:sz w:val="20"/>
                <w:szCs w:val="22"/>
              </w:rPr>
            </w:pPr>
            <w:r w:rsidRPr="006F4873">
              <w:rPr>
                <w:rFonts w:ascii="Arial" w:hAnsi="Arial" w:cs="Arial"/>
                <w:i/>
                <w:sz w:val="20"/>
                <w:szCs w:val="22"/>
              </w:rPr>
              <w:t>(60% du montant total)</w:t>
            </w:r>
          </w:p>
        </w:tc>
        <w:tc>
          <w:tcPr>
            <w:tcW w:w="3218" w:type="dxa"/>
            <w:shd w:val="clear" w:color="auto" w:fill="D9E2F3" w:themeFill="accent5" w:themeFillTint="33"/>
            <w:vAlign w:val="center"/>
          </w:tcPr>
          <w:p w:rsidR="007D4596" w:rsidRDefault="007D4596" w:rsidP="00D55632">
            <w:pPr>
              <w:pStyle w:val="Default"/>
              <w:spacing w:line="276" w:lineRule="auto"/>
              <w:jc w:val="center"/>
              <w:rPr>
                <w:rFonts w:ascii="Arial" w:hAnsi="Arial" w:cs="Arial"/>
                <w:b/>
                <w:sz w:val="20"/>
                <w:szCs w:val="22"/>
              </w:rPr>
            </w:pPr>
            <w:r w:rsidRPr="005134F5">
              <w:rPr>
                <w:rFonts w:ascii="Arial" w:hAnsi="Arial" w:cs="Arial"/>
                <w:b/>
                <w:sz w:val="20"/>
                <w:szCs w:val="22"/>
              </w:rPr>
              <w:t>Montant pris en charge par l’établissement</w:t>
            </w:r>
            <w:r>
              <w:rPr>
                <w:rFonts w:ascii="Arial" w:hAnsi="Arial" w:cs="Arial"/>
                <w:b/>
                <w:sz w:val="20"/>
                <w:szCs w:val="22"/>
              </w:rPr>
              <w:t> :</w:t>
            </w:r>
          </w:p>
          <w:p w:rsidR="007D4596" w:rsidRPr="005134F5" w:rsidRDefault="007D4596" w:rsidP="00D55632">
            <w:pPr>
              <w:pStyle w:val="Default"/>
              <w:spacing w:line="276" w:lineRule="auto"/>
              <w:jc w:val="center"/>
              <w:rPr>
                <w:rFonts w:ascii="Arial" w:hAnsi="Arial" w:cs="Arial"/>
                <w:b/>
                <w:sz w:val="20"/>
                <w:szCs w:val="22"/>
              </w:rPr>
            </w:pPr>
            <w:r>
              <w:rPr>
                <w:rFonts w:ascii="Arial" w:hAnsi="Arial" w:cs="Arial"/>
                <w:b/>
                <w:sz w:val="20"/>
                <w:szCs w:val="22"/>
              </w:rPr>
              <w:t>Versé</w:t>
            </w:r>
            <w:r w:rsidRPr="005134F5">
              <w:rPr>
                <w:rFonts w:ascii="Arial" w:hAnsi="Arial" w:cs="Arial"/>
                <w:b/>
                <w:sz w:val="20"/>
                <w:szCs w:val="22"/>
              </w:rPr>
              <w:t xml:space="preserve"> à l’étudiant à la fin des 18 mois d’engagement</w:t>
            </w:r>
          </w:p>
          <w:p w:rsidR="007D4596" w:rsidRPr="005134F5" w:rsidRDefault="007D4596" w:rsidP="00D55632">
            <w:pPr>
              <w:pStyle w:val="Default"/>
              <w:spacing w:line="276" w:lineRule="auto"/>
              <w:jc w:val="center"/>
              <w:rPr>
                <w:rFonts w:ascii="Arial" w:hAnsi="Arial" w:cs="Arial"/>
                <w:i/>
                <w:sz w:val="20"/>
                <w:szCs w:val="22"/>
              </w:rPr>
            </w:pPr>
            <w:r w:rsidRPr="005134F5">
              <w:rPr>
                <w:rFonts w:ascii="Arial" w:hAnsi="Arial" w:cs="Arial"/>
                <w:i/>
                <w:sz w:val="20"/>
                <w:szCs w:val="22"/>
              </w:rPr>
              <w:t>(40% du montant total)</w:t>
            </w:r>
          </w:p>
        </w:tc>
      </w:tr>
      <w:tr w:rsidR="007D4596" w:rsidRPr="005134F5" w:rsidTr="00476837">
        <w:trPr>
          <w:trHeight w:val="419"/>
        </w:trPr>
        <w:tc>
          <w:tcPr>
            <w:tcW w:w="1560" w:type="dxa"/>
            <w:shd w:val="clear" w:color="auto" w:fill="auto"/>
            <w:vAlign w:val="center"/>
          </w:tcPr>
          <w:p w:rsidR="007D4596" w:rsidRPr="005134F5" w:rsidRDefault="007D4596" w:rsidP="00D55632">
            <w:pPr>
              <w:pStyle w:val="Default"/>
              <w:spacing w:line="276" w:lineRule="auto"/>
              <w:jc w:val="center"/>
              <w:rPr>
                <w:rFonts w:ascii="Arial" w:hAnsi="Arial" w:cs="Arial"/>
                <w:b/>
                <w:sz w:val="20"/>
                <w:szCs w:val="22"/>
              </w:rPr>
            </w:pPr>
            <w:r w:rsidRPr="005134F5">
              <w:rPr>
                <w:rFonts w:ascii="Arial" w:hAnsi="Arial" w:cs="Arial"/>
                <w:b/>
                <w:sz w:val="20"/>
                <w:szCs w:val="22"/>
              </w:rPr>
              <w:t>IDE</w:t>
            </w:r>
          </w:p>
        </w:tc>
        <w:tc>
          <w:tcPr>
            <w:tcW w:w="1843"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9 000 € net</w:t>
            </w:r>
          </w:p>
        </w:tc>
        <w:tc>
          <w:tcPr>
            <w:tcW w:w="3544"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60% soit 5 400 € net</w:t>
            </w:r>
          </w:p>
        </w:tc>
        <w:tc>
          <w:tcPr>
            <w:tcW w:w="3218"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40% soit 3 600 € net</w:t>
            </w:r>
          </w:p>
        </w:tc>
      </w:tr>
      <w:tr w:rsidR="007D4596" w:rsidRPr="005134F5" w:rsidTr="00476837">
        <w:trPr>
          <w:trHeight w:val="519"/>
        </w:trPr>
        <w:tc>
          <w:tcPr>
            <w:tcW w:w="1560" w:type="dxa"/>
            <w:shd w:val="clear" w:color="auto" w:fill="auto"/>
            <w:vAlign w:val="center"/>
          </w:tcPr>
          <w:p w:rsidR="007D4596" w:rsidRPr="005134F5" w:rsidRDefault="007D4596" w:rsidP="00D55632">
            <w:pPr>
              <w:pStyle w:val="Default"/>
              <w:spacing w:line="276" w:lineRule="auto"/>
              <w:jc w:val="center"/>
              <w:rPr>
                <w:rFonts w:ascii="Arial" w:hAnsi="Arial" w:cs="Arial"/>
                <w:b/>
                <w:sz w:val="20"/>
                <w:szCs w:val="22"/>
              </w:rPr>
            </w:pPr>
            <w:r w:rsidRPr="005134F5">
              <w:rPr>
                <w:rFonts w:ascii="Arial" w:hAnsi="Arial" w:cs="Arial"/>
                <w:b/>
                <w:sz w:val="20"/>
              </w:rPr>
              <w:t>S-F</w:t>
            </w:r>
          </w:p>
        </w:tc>
        <w:tc>
          <w:tcPr>
            <w:tcW w:w="1843"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10 800 € net</w:t>
            </w:r>
          </w:p>
        </w:tc>
        <w:tc>
          <w:tcPr>
            <w:tcW w:w="3544"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60% soit 6 480 € net</w:t>
            </w:r>
          </w:p>
        </w:tc>
        <w:tc>
          <w:tcPr>
            <w:tcW w:w="3218"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40% soit 4 320 € net</w:t>
            </w:r>
          </w:p>
        </w:tc>
      </w:tr>
    </w:tbl>
    <w:p w:rsidR="006C049B" w:rsidRDefault="006C049B" w:rsidP="008F7FCB">
      <w:pPr>
        <w:rPr>
          <w:b/>
          <w:color w:val="4472C4" w:themeColor="accent5"/>
        </w:rPr>
      </w:pPr>
    </w:p>
    <w:p w:rsidR="006C049B" w:rsidRPr="00797317" w:rsidRDefault="006C049B" w:rsidP="00D500B4">
      <w:pPr>
        <w:pStyle w:val="Paragraphedeliste"/>
        <w:numPr>
          <w:ilvl w:val="0"/>
          <w:numId w:val="12"/>
        </w:numPr>
        <w:rPr>
          <w:u w:val="single"/>
        </w:rPr>
      </w:pPr>
      <w:r w:rsidRPr="00797317">
        <w:rPr>
          <w:u w:val="single"/>
        </w:rPr>
        <w:t xml:space="preserve">Pour les </w:t>
      </w:r>
      <w:r w:rsidR="00D500B4" w:rsidRPr="00D500B4">
        <w:rPr>
          <w:u w:val="single"/>
        </w:rPr>
        <w:t>Etablissements et services médico-sociaux financés ou co-financés par l’Assurance-maladi</w:t>
      </w:r>
      <w:r w:rsidR="00D500B4">
        <w:rPr>
          <w:u w:val="single"/>
        </w:rPr>
        <w:t xml:space="preserve">e </w:t>
      </w:r>
      <w:r w:rsidR="00D500B4" w:rsidRPr="00D500B4">
        <w:rPr>
          <w:u w:val="single"/>
        </w:rPr>
        <w:t>(secteurs Personnes âgées et personnes en situation de handicap)</w:t>
      </w:r>
      <w:r w:rsidR="00D500B4" w:rsidRPr="00D500B4">
        <w:t> :</w:t>
      </w:r>
    </w:p>
    <w:tbl>
      <w:tblPr>
        <w:tblStyle w:val="Grilledutableau"/>
        <w:tblW w:w="10207" w:type="dxa"/>
        <w:tblInd w:w="-289" w:type="dxa"/>
        <w:tblLook w:val="04A0" w:firstRow="1" w:lastRow="0" w:firstColumn="1" w:lastColumn="0" w:noHBand="0" w:noVBand="1"/>
      </w:tblPr>
      <w:tblGrid>
        <w:gridCol w:w="1594"/>
        <w:gridCol w:w="1809"/>
        <w:gridCol w:w="3548"/>
        <w:gridCol w:w="3256"/>
      </w:tblGrid>
      <w:tr w:rsidR="00476837" w:rsidRPr="005134F5" w:rsidTr="00476837">
        <w:trPr>
          <w:trHeight w:val="1467"/>
        </w:trPr>
        <w:tc>
          <w:tcPr>
            <w:tcW w:w="1594" w:type="dxa"/>
            <w:shd w:val="clear" w:color="auto" w:fill="D9E2F3" w:themeFill="accent5" w:themeFillTint="33"/>
            <w:vAlign w:val="center"/>
          </w:tcPr>
          <w:p w:rsidR="00476837" w:rsidRPr="005134F5" w:rsidRDefault="00476837" w:rsidP="00476837">
            <w:pPr>
              <w:pStyle w:val="Default"/>
              <w:spacing w:line="276" w:lineRule="auto"/>
              <w:jc w:val="center"/>
              <w:rPr>
                <w:rFonts w:ascii="Arial" w:hAnsi="Arial" w:cs="Arial"/>
                <w:b/>
                <w:sz w:val="20"/>
                <w:szCs w:val="22"/>
              </w:rPr>
            </w:pPr>
            <w:r w:rsidRPr="005134F5">
              <w:rPr>
                <w:rFonts w:ascii="Arial" w:hAnsi="Arial" w:cs="Arial"/>
                <w:b/>
                <w:sz w:val="20"/>
                <w:szCs w:val="22"/>
              </w:rPr>
              <w:t>Métiers concernés</w:t>
            </w:r>
          </w:p>
        </w:tc>
        <w:tc>
          <w:tcPr>
            <w:tcW w:w="1809" w:type="dxa"/>
            <w:shd w:val="clear" w:color="auto" w:fill="D9E2F3" w:themeFill="accent5" w:themeFillTint="33"/>
            <w:vAlign w:val="center"/>
          </w:tcPr>
          <w:p w:rsidR="00476837" w:rsidRPr="005134F5" w:rsidRDefault="00476837" w:rsidP="00476837">
            <w:pPr>
              <w:pStyle w:val="Default"/>
              <w:spacing w:line="276" w:lineRule="auto"/>
              <w:jc w:val="center"/>
              <w:rPr>
                <w:rFonts w:ascii="Arial" w:hAnsi="Arial" w:cs="Arial"/>
                <w:b/>
                <w:sz w:val="20"/>
                <w:szCs w:val="22"/>
              </w:rPr>
            </w:pPr>
            <w:r w:rsidRPr="005134F5">
              <w:rPr>
                <w:rFonts w:ascii="Arial" w:hAnsi="Arial" w:cs="Arial"/>
                <w:b/>
                <w:sz w:val="20"/>
                <w:szCs w:val="22"/>
              </w:rPr>
              <w:t xml:space="preserve">Montant total de l’allocation </w:t>
            </w:r>
          </w:p>
          <w:p w:rsidR="00476837" w:rsidRPr="005134F5" w:rsidRDefault="00476837" w:rsidP="00476837">
            <w:pPr>
              <w:pStyle w:val="Default"/>
              <w:spacing w:line="276" w:lineRule="auto"/>
              <w:jc w:val="center"/>
              <w:rPr>
                <w:rFonts w:ascii="Arial" w:hAnsi="Arial" w:cs="Arial"/>
                <w:b/>
                <w:i/>
                <w:sz w:val="20"/>
                <w:szCs w:val="22"/>
              </w:rPr>
            </w:pPr>
            <w:r w:rsidRPr="005134F5">
              <w:rPr>
                <w:rFonts w:ascii="Arial" w:hAnsi="Arial" w:cs="Arial"/>
                <w:i/>
                <w:sz w:val="20"/>
                <w:szCs w:val="22"/>
              </w:rPr>
              <w:t>(en euros)</w:t>
            </w:r>
          </w:p>
        </w:tc>
        <w:tc>
          <w:tcPr>
            <w:tcW w:w="3548" w:type="dxa"/>
            <w:shd w:val="clear" w:color="auto" w:fill="D9E2F3" w:themeFill="accent5" w:themeFillTint="33"/>
            <w:vAlign w:val="center"/>
          </w:tcPr>
          <w:p w:rsidR="00476837" w:rsidRPr="006F4873" w:rsidRDefault="00476837" w:rsidP="00476837">
            <w:pPr>
              <w:pStyle w:val="Default"/>
              <w:spacing w:line="276" w:lineRule="auto"/>
              <w:jc w:val="center"/>
              <w:rPr>
                <w:rFonts w:ascii="Arial" w:hAnsi="Arial" w:cs="Arial"/>
                <w:b/>
                <w:sz w:val="20"/>
                <w:szCs w:val="22"/>
              </w:rPr>
            </w:pPr>
            <w:r w:rsidRPr="006F4873">
              <w:rPr>
                <w:rFonts w:ascii="Arial" w:hAnsi="Arial" w:cs="Arial"/>
                <w:b/>
                <w:sz w:val="20"/>
                <w:szCs w:val="22"/>
              </w:rPr>
              <w:t xml:space="preserve">Montant </w:t>
            </w:r>
            <w:r>
              <w:rPr>
                <w:rFonts w:ascii="Arial" w:hAnsi="Arial" w:cs="Arial"/>
                <w:b/>
                <w:sz w:val="20"/>
                <w:szCs w:val="22"/>
              </w:rPr>
              <w:t xml:space="preserve">pris en charge </w:t>
            </w:r>
            <w:r w:rsidRPr="006F4873">
              <w:rPr>
                <w:rFonts w:ascii="Arial" w:hAnsi="Arial" w:cs="Arial"/>
                <w:b/>
                <w:sz w:val="20"/>
                <w:szCs w:val="22"/>
              </w:rPr>
              <w:t>par l’ARS</w:t>
            </w:r>
            <w:r>
              <w:rPr>
                <w:rFonts w:ascii="Arial" w:hAnsi="Arial" w:cs="Arial"/>
                <w:b/>
                <w:sz w:val="20"/>
                <w:szCs w:val="22"/>
              </w:rPr>
              <w:t xml:space="preserve"> : </w:t>
            </w:r>
          </w:p>
          <w:p w:rsidR="00476837" w:rsidRPr="006F4873" w:rsidRDefault="00476837" w:rsidP="00476837">
            <w:pPr>
              <w:pStyle w:val="Default"/>
              <w:spacing w:line="276" w:lineRule="auto"/>
              <w:jc w:val="center"/>
              <w:rPr>
                <w:rFonts w:ascii="Arial" w:hAnsi="Arial" w:cs="Arial"/>
                <w:b/>
                <w:sz w:val="20"/>
                <w:szCs w:val="22"/>
              </w:rPr>
            </w:pPr>
            <w:r>
              <w:rPr>
                <w:rFonts w:ascii="Arial" w:hAnsi="Arial" w:cs="Arial"/>
                <w:b/>
                <w:sz w:val="20"/>
                <w:szCs w:val="22"/>
              </w:rPr>
              <w:t>Versé à</w:t>
            </w:r>
            <w:r w:rsidRPr="006F4873">
              <w:rPr>
                <w:rFonts w:ascii="Arial" w:hAnsi="Arial" w:cs="Arial"/>
                <w:b/>
                <w:sz w:val="20"/>
                <w:szCs w:val="22"/>
              </w:rPr>
              <w:t xml:space="preserve"> l’étudiant</w:t>
            </w:r>
            <w:r>
              <w:rPr>
                <w:rFonts w:ascii="Arial" w:hAnsi="Arial" w:cs="Arial"/>
                <w:b/>
                <w:sz w:val="20"/>
                <w:szCs w:val="22"/>
              </w:rPr>
              <w:t xml:space="preserve"> par l’établissement </w:t>
            </w:r>
            <w:r w:rsidRPr="006F4873">
              <w:rPr>
                <w:rFonts w:ascii="Arial" w:hAnsi="Arial" w:cs="Arial"/>
                <w:b/>
                <w:sz w:val="20"/>
                <w:szCs w:val="22"/>
              </w:rPr>
              <w:t xml:space="preserve">dès </w:t>
            </w:r>
            <w:r>
              <w:rPr>
                <w:rFonts w:ascii="Arial" w:hAnsi="Arial" w:cs="Arial"/>
                <w:b/>
                <w:sz w:val="20"/>
                <w:szCs w:val="22"/>
              </w:rPr>
              <w:t>la signature du contrat</w:t>
            </w:r>
          </w:p>
          <w:p w:rsidR="00476837" w:rsidRPr="006F4873" w:rsidRDefault="00476837" w:rsidP="00476837">
            <w:pPr>
              <w:pStyle w:val="Default"/>
              <w:spacing w:line="276" w:lineRule="auto"/>
              <w:jc w:val="center"/>
              <w:rPr>
                <w:rFonts w:ascii="Arial" w:hAnsi="Arial" w:cs="Arial"/>
                <w:i/>
                <w:sz w:val="20"/>
                <w:szCs w:val="22"/>
              </w:rPr>
            </w:pPr>
            <w:r w:rsidRPr="006F4873">
              <w:rPr>
                <w:rFonts w:ascii="Arial" w:hAnsi="Arial" w:cs="Arial"/>
                <w:i/>
                <w:sz w:val="20"/>
                <w:szCs w:val="22"/>
              </w:rPr>
              <w:t>(60% du montant total)</w:t>
            </w:r>
          </w:p>
        </w:tc>
        <w:tc>
          <w:tcPr>
            <w:tcW w:w="3256" w:type="dxa"/>
            <w:shd w:val="clear" w:color="auto" w:fill="D9E2F3" w:themeFill="accent5" w:themeFillTint="33"/>
            <w:vAlign w:val="center"/>
          </w:tcPr>
          <w:p w:rsidR="00476837" w:rsidRDefault="00476837" w:rsidP="00476837">
            <w:pPr>
              <w:pStyle w:val="Default"/>
              <w:spacing w:line="276" w:lineRule="auto"/>
              <w:jc w:val="center"/>
              <w:rPr>
                <w:rFonts w:ascii="Arial" w:hAnsi="Arial" w:cs="Arial"/>
                <w:b/>
                <w:sz w:val="20"/>
                <w:szCs w:val="22"/>
              </w:rPr>
            </w:pPr>
            <w:r w:rsidRPr="005134F5">
              <w:rPr>
                <w:rFonts w:ascii="Arial" w:hAnsi="Arial" w:cs="Arial"/>
                <w:b/>
                <w:sz w:val="20"/>
                <w:szCs w:val="22"/>
              </w:rPr>
              <w:t>Montant pris en charge par l’établissement</w:t>
            </w:r>
            <w:r>
              <w:rPr>
                <w:rFonts w:ascii="Arial" w:hAnsi="Arial" w:cs="Arial"/>
                <w:b/>
                <w:sz w:val="20"/>
                <w:szCs w:val="22"/>
              </w:rPr>
              <w:t> :</w:t>
            </w:r>
          </w:p>
          <w:p w:rsidR="00476837" w:rsidRPr="005134F5" w:rsidRDefault="00476837" w:rsidP="00476837">
            <w:pPr>
              <w:pStyle w:val="Default"/>
              <w:spacing w:line="276" w:lineRule="auto"/>
              <w:jc w:val="center"/>
              <w:rPr>
                <w:rFonts w:ascii="Arial" w:hAnsi="Arial" w:cs="Arial"/>
                <w:b/>
                <w:sz w:val="20"/>
                <w:szCs w:val="22"/>
              </w:rPr>
            </w:pPr>
            <w:r>
              <w:rPr>
                <w:rFonts w:ascii="Arial" w:hAnsi="Arial" w:cs="Arial"/>
                <w:b/>
                <w:sz w:val="20"/>
                <w:szCs w:val="22"/>
              </w:rPr>
              <w:t>Versé</w:t>
            </w:r>
            <w:r w:rsidRPr="005134F5">
              <w:rPr>
                <w:rFonts w:ascii="Arial" w:hAnsi="Arial" w:cs="Arial"/>
                <w:b/>
                <w:sz w:val="20"/>
                <w:szCs w:val="22"/>
              </w:rPr>
              <w:t xml:space="preserve"> à l’étudiant à la fin des 18 mois d’engagement</w:t>
            </w:r>
          </w:p>
          <w:p w:rsidR="00476837" w:rsidRPr="005134F5" w:rsidRDefault="00476837" w:rsidP="00476837">
            <w:pPr>
              <w:pStyle w:val="Default"/>
              <w:spacing w:line="276" w:lineRule="auto"/>
              <w:jc w:val="center"/>
              <w:rPr>
                <w:rFonts w:ascii="Arial" w:hAnsi="Arial" w:cs="Arial"/>
                <w:i/>
                <w:sz w:val="20"/>
                <w:szCs w:val="22"/>
              </w:rPr>
            </w:pPr>
            <w:r w:rsidRPr="005134F5">
              <w:rPr>
                <w:rFonts w:ascii="Arial" w:hAnsi="Arial" w:cs="Arial"/>
                <w:i/>
                <w:sz w:val="20"/>
                <w:szCs w:val="22"/>
              </w:rPr>
              <w:t>(40% du montant total)</w:t>
            </w:r>
          </w:p>
        </w:tc>
      </w:tr>
      <w:tr w:rsidR="007D4596" w:rsidRPr="005134F5" w:rsidTr="00476837">
        <w:trPr>
          <w:trHeight w:val="423"/>
        </w:trPr>
        <w:tc>
          <w:tcPr>
            <w:tcW w:w="1594" w:type="dxa"/>
            <w:shd w:val="clear" w:color="auto" w:fill="auto"/>
            <w:vAlign w:val="center"/>
          </w:tcPr>
          <w:p w:rsidR="007D4596" w:rsidRPr="005134F5" w:rsidRDefault="007D4596" w:rsidP="00D55632">
            <w:pPr>
              <w:pStyle w:val="Default"/>
              <w:spacing w:line="276" w:lineRule="auto"/>
              <w:jc w:val="center"/>
              <w:rPr>
                <w:rFonts w:ascii="Arial" w:hAnsi="Arial" w:cs="Arial"/>
                <w:b/>
                <w:sz w:val="20"/>
                <w:szCs w:val="22"/>
              </w:rPr>
            </w:pPr>
            <w:r w:rsidRPr="005134F5">
              <w:rPr>
                <w:rFonts w:ascii="Arial" w:hAnsi="Arial" w:cs="Arial"/>
                <w:b/>
                <w:sz w:val="20"/>
                <w:szCs w:val="22"/>
              </w:rPr>
              <w:t>AS</w:t>
            </w:r>
          </w:p>
        </w:tc>
        <w:tc>
          <w:tcPr>
            <w:tcW w:w="1809"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9 000 € net</w:t>
            </w:r>
          </w:p>
        </w:tc>
        <w:tc>
          <w:tcPr>
            <w:tcW w:w="3548"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60% soit 5 400 € net</w:t>
            </w:r>
          </w:p>
        </w:tc>
        <w:tc>
          <w:tcPr>
            <w:tcW w:w="3256"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40% soit 3 600 € net</w:t>
            </w:r>
          </w:p>
        </w:tc>
      </w:tr>
      <w:tr w:rsidR="007D4596" w:rsidRPr="005134F5" w:rsidTr="00476837">
        <w:trPr>
          <w:trHeight w:val="280"/>
        </w:trPr>
        <w:tc>
          <w:tcPr>
            <w:tcW w:w="1594" w:type="dxa"/>
            <w:shd w:val="clear" w:color="auto" w:fill="auto"/>
            <w:vAlign w:val="center"/>
          </w:tcPr>
          <w:p w:rsidR="007D4596" w:rsidRPr="005134F5" w:rsidRDefault="007D4596" w:rsidP="00D55632">
            <w:pPr>
              <w:pStyle w:val="Default"/>
              <w:spacing w:line="276" w:lineRule="auto"/>
              <w:jc w:val="center"/>
              <w:rPr>
                <w:rFonts w:ascii="Arial" w:hAnsi="Arial" w:cs="Arial"/>
                <w:b/>
                <w:sz w:val="20"/>
                <w:szCs w:val="22"/>
              </w:rPr>
            </w:pPr>
            <w:r w:rsidRPr="005134F5">
              <w:rPr>
                <w:rFonts w:ascii="Arial" w:hAnsi="Arial" w:cs="Arial"/>
                <w:b/>
                <w:sz w:val="20"/>
                <w:szCs w:val="22"/>
              </w:rPr>
              <w:t>IDE</w:t>
            </w:r>
          </w:p>
        </w:tc>
        <w:tc>
          <w:tcPr>
            <w:tcW w:w="1809"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9 000 € net</w:t>
            </w:r>
          </w:p>
        </w:tc>
        <w:tc>
          <w:tcPr>
            <w:tcW w:w="3548"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60% soit 5 400 € net</w:t>
            </w:r>
          </w:p>
        </w:tc>
        <w:tc>
          <w:tcPr>
            <w:tcW w:w="3256"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40% soit 3 600 € net</w:t>
            </w:r>
          </w:p>
        </w:tc>
      </w:tr>
      <w:tr w:rsidR="007D4596" w:rsidRPr="005134F5" w:rsidTr="00476837">
        <w:trPr>
          <w:trHeight w:val="280"/>
        </w:trPr>
        <w:tc>
          <w:tcPr>
            <w:tcW w:w="1594" w:type="dxa"/>
            <w:shd w:val="clear" w:color="auto" w:fill="auto"/>
            <w:vAlign w:val="center"/>
          </w:tcPr>
          <w:p w:rsidR="007D4596" w:rsidRPr="005134F5" w:rsidRDefault="007D4596" w:rsidP="00D55632">
            <w:pPr>
              <w:pStyle w:val="Default"/>
              <w:spacing w:line="276" w:lineRule="auto"/>
              <w:jc w:val="center"/>
              <w:rPr>
                <w:rFonts w:ascii="Arial" w:hAnsi="Arial" w:cs="Arial"/>
                <w:b/>
                <w:sz w:val="20"/>
                <w:szCs w:val="22"/>
              </w:rPr>
            </w:pPr>
            <w:r w:rsidRPr="005134F5">
              <w:rPr>
                <w:rFonts w:ascii="Arial" w:hAnsi="Arial" w:cs="Arial"/>
                <w:b/>
                <w:sz w:val="20"/>
                <w:szCs w:val="22"/>
              </w:rPr>
              <w:t>MK</w:t>
            </w:r>
          </w:p>
        </w:tc>
        <w:tc>
          <w:tcPr>
            <w:tcW w:w="1809"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9 000 € net</w:t>
            </w:r>
          </w:p>
        </w:tc>
        <w:tc>
          <w:tcPr>
            <w:tcW w:w="3548"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60% soit 5 400 € net</w:t>
            </w:r>
          </w:p>
        </w:tc>
        <w:tc>
          <w:tcPr>
            <w:tcW w:w="3256"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40% soit 3 600 €net</w:t>
            </w:r>
          </w:p>
        </w:tc>
      </w:tr>
      <w:tr w:rsidR="007D4596" w:rsidRPr="005134F5" w:rsidTr="00476837">
        <w:trPr>
          <w:trHeight w:val="423"/>
        </w:trPr>
        <w:tc>
          <w:tcPr>
            <w:tcW w:w="1594" w:type="dxa"/>
            <w:shd w:val="clear" w:color="auto" w:fill="auto"/>
            <w:vAlign w:val="center"/>
          </w:tcPr>
          <w:p w:rsidR="007D4596" w:rsidRPr="005134F5" w:rsidRDefault="007D4596" w:rsidP="00D55632">
            <w:pPr>
              <w:pStyle w:val="Default"/>
              <w:spacing w:line="276" w:lineRule="auto"/>
              <w:jc w:val="center"/>
              <w:rPr>
                <w:rFonts w:ascii="Arial" w:hAnsi="Arial" w:cs="Arial"/>
                <w:b/>
                <w:sz w:val="20"/>
                <w:szCs w:val="22"/>
              </w:rPr>
            </w:pPr>
            <w:r w:rsidRPr="005134F5">
              <w:rPr>
                <w:rFonts w:ascii="Arial" w:hAnsi="Arial" w:cs="Arial"/>
                <w:b/>
                <w:sz w:val="20"/>
              </w:rPr>
              <w:t>Orthophoniste</w:t>
            </w:r>
          </w:p>
        </w:tc>
        <w:tc>
          <w:tcPr>
            <w:tcW w:w="1809"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9 000 € net</w:t>
            </w:r>
          </w:p>
        </w:tc>
        <w:tc>
          <w:tcPr>
            <w:tcW w:w="3548"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60% soit 5 400 € net</w:t>
            </w:r>
          </w:p>
        </w:tc>
        <w:tc>
          <w:tcPr>
            <w:tcW w:w="3256"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40% soit 3 600 € net</w:t>
            </w:r>
          </w:p>
        </w:tc>
      </w:tr>
      <w:tr w:rsidR="007D4596" w:rsidRPr="005134F5" w:rsidTr="00476837">
        <w:trPr>
          <w:trHeight w:val="493"/>
        </w:trPr>
        <w:tc>
          <w:tcPr>
            <w:tcW w:w="1594" w:type="dxa"/>
            <w:shd w:val="clear" w:color="auto" w:fill="auto"/>
            <w:vAlign w:val="center"/>
          </w:tcPr>
          <w:p w:rsidR="007D4596" w:rsidRPr="005134F5" w:rsidRDefault="007D4596" w:rsidP="00D55632">
            <w:pPr>
              <w:pStyle w:val="Default"/>
              <w:spacing w:line="276" w:lineRule="auto"/>
              <w:jc w:val="center"/>
              <w:rPr>
                <w:rFonts w:ascii="Arial" w:hAnsi="Arial" w:cs="Arial"/>
                <w:b/>
                <w:sz w:val="20"/>
                <w:szCs w:val="22"/>
              </w:rPr>
            </w:pPr>
            <w:r w:rsidRPr="005134F5">
              <w:rPr>
                <w:rFonts w:ascii="Arial" w:hAnsi="Arial" w:cs="Arial"/>
                <w:b/>
                <w:sz w:val="20"/>
              </w:rPr>
              <w:t>ES</w:t>
            </w:r>
          </w:p>
        </w:tc>
        <w:tc>
          <w:tcPr>
            <w:tcW w:w="1809"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9 000 € net</w:t>
            </w:r>
          </w:p>
        </w:tc>
        <w:tc>
          <w:tcPr>
            <w:tcW w:w="3548"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60% soit 5 400 € net</w:t>
            </w:r>
          </w:p>
        </w:tc>
        <w:tc>
          <w:tcPr>
            <w:tcW w:w="3256" w:type="dxa"/>
            <w:vAlign w:val="center"/>
          </w:tcPr>
          <w:p w:rsidR="007D4596" w:rsidRPr="005134F5" w:rsidRDefault="007D4596" w:rsidP="00D55632">
            <w:pPr>
              <w:pStyle w:val="Default"/>
              <w:spacing w:line="276" w:lineRule="auto"/>
              <w:jc w:val="center"/>
              <w:rPr>
                <w:rFonts w:ascii="Arial" w:hAnsi="Arial" w:cs="Arial"/>
                <w:sz w:val="20"/>
                <w:szCs w:val="22"/>
              </w:rPr>
            </w:pPr>
            <w:r w:rsidRPr="005134F5">
              <w:rPr>
                <w:rFonts w:ascii="Arial" w:hAnsi="Arial" w:cs="Arial"/>
                <w:sz w:val="20"/>
                <w:szCs w:val="22"/>
              </w:rPr>
              <w:t>40% soit 3 600 € net</w:t>
            </w:r>
          </w:p>
        </w:tc>
      </w:tr>
    </w:tbl>
    <w:p w:rsidR="006C049B" w:rsidRDefault="006C049B" w:rsidP="006C049B"/>
    <w:p w:rsidR="006C049B" w:rsidRPr="006C049B" w:rsidRDefault="006C049B" w:rsidP="006C049B"/>
    <w:p w:rsidR="005F4632" w:rsidRPr="00DE7191" w:rsidRDefault="00106776" w:rsidP="00DE7191">
      <w:pPr>
        <w:rPr>
          <w:b/>
          <w:color w:val="4472C4" w:themeColor="accent5"/>
          <w:u w:val="single"/>
        </w:rPr>
      </w:pPr>
      <w:r>
        <w:rPr>
          <w:b/>
          <w:color w:val="4472C4" w:themeColor="accent5"/>
          <w:u w:val="single"/>
        </w:rPr>
        <w:t>L’engagement de servir est-il obligatoirement de 18 mois ?</w:t>
      </w:r>
    </w:p>
    <w:p w:rsidR="00577DCB" w:rsidRDefault="00577DCB" w:rsidP="001C2092">
      <w:pPr>
        <w:jc w:val="both"/>
      </w:pPr>
      <w:r>
        <w:t>L’établissement signe le contrat d’alloca</w:t>
      </w:r>
      <w:r w:rsidR="001C2092">
        <w:t>tion d’études avec l’étudiant</w:t>
      </w:r>
      <w:r>
        <w:t xml:space="preserve"> et s’engage </w:t>
      </w:r>
      <w:r w:rsidR="002C1D9F">
        <w:t xml:space="preserve">obligatoirement </w:t>
      </w:r>
      <w:r>
        <w:t xml:space="preserve">à le recruter après obtention de son diplôme pour une durée de </w:t>
      </w:r>
      <w:r w:rsidRPr="00A52A2D">
        <w:rPr>
          <w:b/>
        </w:rPr>
        <w:t>18 mois</w:t>
      </w:r>
      <w:r w:rsidR="005F4632" w:rsidRPr="00A52A2D">
        <w:rPr>
          <w:b/>
        </w:rPr>
        <w:t xml:space="preserve"> temps plein</w:t>
      </w:r>
      <w:r>
        <w:t>.</w:t>
      </w:r>
    </w:p>
    <w:p w:rsidR="005F4632" w:rsidRDefault="005F4632" w:rsidP="001C2092">
      <w:pPr>
        <w:jc w:val="both"/>
      </w:pPr>
      <w:r>
        <w:t>L’engagemen</w:t>
      </w:r>
      <w:r w:rsidR="001C2092">
        <w:t xml:space="preserve">t de servir peut-être </w:t>
      </w:r>
      <w:proofErr w:type="gramStart"/>
      <w:r w:rsidR="001C2092">
        <w:t>déterminé</w:t>
      </w:r>
      <w:proofErr w:type="gramEnd"/>
      <w:r>
        <w:t xml:space="preserve"> sur la base d’un temps partiel, calculée au prorata du temps de travail prévu dans le contrat de travail, soit : (18 mois d’engagement x 100) / (pourcentage du temps partiel choisi) </w:t>
      </w:r>
    </w:p>
    <w:p w:rsidR="005F4632" w:rsidRDefault="005F4632" w:rsidP="008F7FCB">
      <w:r w:rsidRPr="005F4632">
        <w:rPr>
          <w:noProof/>
          <w:lang w:eastAsia="fr-FR"/>
        </w:rPr>
        <w:lastRenderedPageBreak/>
        <w:drawing>
          <wp:inline distT="0" distB="0" distL="0" distR="0" wp14:anchorId="0F787FD0" wp14:editId="57AB1FFF">
            <wp:extent cx="5053255" cy="1001864"/>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6507" cy="1018370"/>
                    </a:xfrm>
                    <a:prstGeom prst="rect">
                      <a:avLst/>
                    </a:prstGeom>
                  </pic:spPr>
                </pic:pic>
              </a:graphicData>
            </a:graphic>
          </wp:inline>
        </w:drawing>
      </w:r>
    </w:p>
    <w:p w:rsidR="00106776" w:rsidRDefault="00106776" w:rsidP="008F7FCB"/>
    <w:p w:rsidR="00106776" w:rsidRDefault="00106776" w:rsidP="008F7FCB"/>
    <w:p w:rsidR="00106776" w:rsidRDefault="00106776" w:rsidP="004F2CA2">
      <w:pPr>
        <w:jc w:val="both"/>
      </w:pPr>
      <w:r w:rsidRPr="00106776">
        <w:rPr>
          <w:b/>
          <w:color w:val="4472C4" w:themeColor="accent5"/>
          <w:u w:val="single"/>
        </w:rPr>
        <w:t>Doit-on préciser dans le contrat d’allocation d’études le service dans lequel va travailler le futur diplômé ?</w:t>
      </w:r>
    </w:p>
    <w:p w:rsidR="00BC2478" w:rsidRDefault="00BC2478" w:rsidP="004F2CA2">
      <w:pPr>
        <w:jc w:val="both"/>
      </w:pPr>
      <w:r>
        <w:t xml:space="preserve">Le futur service </w:t>
      </w:r>
      <w:r w:rsidR="004F2CA2">
        <w:t>de l’étudiant</w:t>
      </w:r>
      <w:r>
        <w:t xml:space="preserve"> </w:t>
      </w:r>
      <w:r w:rsidR="005F4632">
        <w:t xml:space="preserve">peut </w:t>
      </w:r>
      <w:r>
        <w:t xml:space="preserve">être </w:t>
      </w:r>
      <w:r w:rsidR="002C1D9F">
        <w:t xml:space="preserve">précisé </w:t>
      </w:r>
      <w:r>
        <w:t>dans le contrat d’allocation d’études</w:t>
      </w:r>
      <w:r w:rsidR="005F4632">
        <w:t xml:space="preserve"> sous réserve d’un accord entre </w:t>
      </w:r>
      <w:r w:rsidR="004F2CA2">
        <w:t>l’établissement et l’étudiant</w:t>
      </w:r>
      <w:r>
        <w:t>.</w:t>
      </w:r>
    </w:p>
    <w:p w:rsidR="00577DCB" w:rsidRDefault="00577DCB" w:rsidP="004F2CA2">
      <w:pPr>
        <w:jc w:val="both"/>
        <w:rPr>
          <w:b/>
          <w:color w:val="4472C4" w:themeColor="accent5"/>
        </w:rPr>
      </w:pPr>
      <w:r>
        <w:t>Une clause de « mobilité » peut être déterminée entre l’étudiant</w:t>
      </w:r>
      <w:r w:rsidR="004F2CA2">
        <w:t xml:space="preserve"> </w:t>
      </w:r>
      <w:r>
        <w:t>et l’étab</w:t>
      </w:r>
      <w:r w:rsidR="004F2CA2">
        <w:t>lissement afin que l’étudiant</w:t>
      </w:r>
      <w:r>
        <w:t>, après obtention de son diplôme, puisse prendre un poste au sein d’un établissement</w:t>
      </w:r>
      <w:r w:rsidR="004F2CA2">
        <w:t xml:space="preserve"> du même organisme gestionnaire, sous réserve d’en informer l’ARS.</w:t>
      </w:r>
    </w:p>
    <w:p w:rsidR="00577DCB" w:rsidRDefault="00577DCB" w:rsidP="008F7FCB">
      <w:pPr>
        <w:rPr>
          <w:b/>
          <w:color w:val="4472C4" w:themeColor="accent5"/>
        </w:rPr>
      </w:pPr>
    </w:p>
    <w:p w:rsidR="00577DCB" w:rsidRPr="00DE7191" w:rsidRDefault="00106776" w:rsidP="00DE7191">
      <w:pPr>
        <w:rPr>
          <w:b/>
          <w:color w:val="4472C4" w:themeColor="accent5"/>
          <w:u w:val="single"/>
        </w:rPr>
      </w:pPr>
      <w:r>
        <w:rPr>
          <w:b/>
          <w:color w:val="4472C4" w:themeColor="accent5"/>
          <w:u w:val="single"/>
        </w:rPr>
        <w:t>Est-ce qu’un tuteur est obligatoire au sein des établissements ?</w:t>
      </w:r>
    </w:p>
    <w:p w:rsidR="00577DCB" w:rsidRDefault="00577DCB" w:rsidP="004F2CA2">
      <w:pPr>
        <w:jc w:val="both"/>
      </w:pPr>
      <w:r w:rsidRPr="00577DCB">
        <w:t xml:space="preserve">Les établissements d’accueil sont </w:t>
      </w:r>
      <w:r>
        <w:t xml:space="preserve">invités à </w:t>
      </w:r>
      <w:r w:rsidR="0021142E">
        <w:t xml:space="preserve">mettre en place un accompagnement individuel </w:t>
      </w:r>
      <w:r w:rsidR="001065FF">
        <w:t>pendant la période de dernière année de scolarité</w:t>
      </w:r>
      <w:r w:rsidR="004F2CA2">
        <w:t xml:space="preserve"> de l’étudiant</w:t>
      </w:r>
      <w:r w:rsidR="001065FF">
        <w:t>, à savoir la période de CAE</w:t>
      </w:r>
      <w:r w:rsidR="00BC2478">
        <w:t xml:space="preserve">. </w:t>
      </w:r>
      <w:r w:rsidR="001065FF">
        <w:t>Pour cela, l’établissement peut choisir de déterminer un tuteur ou une tutr</w:t>
      </w:r>
      <w:r w:rsidR="004F2CA2">
        <w:t>ice en lien avec les étudiant</w:t>
      </w:r>
      <w:r w:rsidR="001065FF">
        <w:t xml:space="preserve">s pour fluidifier le déroulement du dispositif.  </w:t>
      </w:r>
      <w:r w:rsidR="00BC2478">
        <w:t>Il peut être convenu dans le contrat d’allocation d’études de demander une attestation de réussite ou de présence trimestrielle en lien avec l’organisme de formation</w:t>
      </w:r>
      <w:r w:rsidR="003D696D">
        <w:t xml:space="preserve">. </w:t>
      </w:r>
      <w:r w:rsidR="002C1D9F">
        <w:t>L</w:t>
      </w:r>
      <w:r w:rsidR="00BC2478">
        <w:t>a vérification de diplôme est à la charge de l’établissement.</w:t>
      </w:r>
    </w:p>
    <w:p w:rsidR="00E10B8B" w:rsidRDefault="00E10B8B" w:rsidP="008F7FCB"/>
    <w:p w:rsidR="00106776" w:rsidRDefault="00106776" w:rsidP="008F7FCB">
      <w:pPr>
        <w:rPr>
          <w:b/>
          <w:color w:val="4472C4" w:themeColor="accent5"/>
          <w:u w:val="single"/>
        </w:rPr>
      </w:pPr>
      <w:r>
        <w:rPr>
          <w:b/>
          <w:color w:val="4472C4" w:themeColor="accent5"/>
          <w:u w:val="single"/>
        </w:rPr>
        <w:t>Qui est référent</w:t>
      </w:r>
      <w:r w:rsidR="00E10B8B" w:rsidRPr="00DE7191">
        <w:rPr>
          <w:b/>
          <w:color w:val="4472C4" w:themeColor="accent5"/>
          <w:u w:val="single"/>
        </w:rPr>
        <w:t xml:space="preserve"> sur le dispositif </w:t>
      </w:r>
      <w:r>
        <w:rPr>
          <w:b/>
          <w:color w:val="4472C4" w:themeColor="accent5"/>
          <w:u w:val="single"/>
        </w:rPr>
        <w:t>à l’Agence Régionale de Santé Ile-de-France ?</w:t>
      </w:r>
    </w:p>
    <w:p w:rsidR="00106776" w:rsidRDefault="00106776" w:rsidP="001D04BA">
      <w:pPr>
        <w:jc w:val="both"/>
      </w:pPr>
      <w:r w:rsidRPr="00106776">
        <w:t xml:space="preserve">Pour </w:t>
      </w:r>
      <w:r>
        <w:t>les questions sur le dispositif, les contacts sont :</w:t>
      </w:r>
    </w:p>
    <w:p w:rsidR="00106776" w:rsidRPr="00106776" w:rsidRDefault="00E10B8B" w:rsidP="001D04BA">
      <w:pPr>
        <w:pStyle w:val="Paragraphedeliste"/>
        <w:numPr>
          <w:ilvl w:val="0"/>
          <w:numId w:val="12"/>
        </w:numPr>
        <w:jc w:val="both"/>
        <w:rPr>
          <w:rStyle w:val="Lienhypertexte"/>
          <w:b/>
          <w:color w:val="4472C4" w:themeColor="accent5"/>
        </w:rPr>
      </w:pPr>
      <w:r>
        <w:t xml:space="preserve">Morgane CAZALET, Chargée de mission RH hospitalières et dialogue social </w:t>
      </w:r>
      <w:hyperlink r:id="rId10" w:history="1">
        <w:r w:rsidRPr="006B0BCC">
          <w:rPr>
            <w:rStyle w:val="Lienhypertexte"/>
          </w:rPr>
          <w:t>morgane.cazalet@ars.sante.fr</w:t>
        </w:r>
      </w:hyperlink>
    </w:p>
    <w:p w:rsidR="00E10B8B" w:rsidRPr="00106776" w:rsidRDefault="00E10B8B" w:rsidP="001D04BA">
      <w:pPr>
        <w:pStyle w:val="Paragraphedeliste"/>
        <w:numPr>
          <w:ilvl w:val="0"/>
          <w:numId w:val="12"/>
        </w:numPr>
        <w:jc w:val="both"/>
        <w:rPr>
          <w:b/>
          <w:color w:val="4472C4" w:themeColor="accent5"/>
          <w:u w:val="single"/>
        </w:rPr>
      </w:pPr>
      <w:r>
        <w:t xml:space="preserve">Dominique CHAREYRE, Responsable du département Accompagnement des Professionnels de Santé </w:t>
      </w:r>
      <w:hyperlink r:id="rId11" w:history="1">
        <w:r w:rsidRPr="00106776">
          <w:rPr>
            <w:rStyle w:val="Lienhypertexte"/>
            <w:rFonts w:ascii="Arial" w:hAnsi="Arial" w:cs="Arial"/>
            <w:sz w:val="20"/>
            <w:szCs w:val="20"/>
          </w:rPr>
          <w:t>dominique.chareyre@ars.sante.fr</w:t>
        </w:r>
      </w:hyperlink>
    </w:p>
    <w:sectPr w:rsidR="00E10B8B" w:rsidRPr="00106776" w:rsidSect="00A52A2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CA"/>
    <w:multiLevelType w:val="hybridMultilevel"/>
    <w:tmpl w:val="255A32F4"/>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37971"/>
    <w:multiLevelType w:val="hybridMultilevel"/>
    <w:tmpl w:val="EA82373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3641A3"/>
    <w:multiLevelType w:val="hybridMultilevel"/>
    <w:tmpl w:val="8D62607C"/>
    <w:lvl w:ilvl="0" w:tplc="24B48C4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6B0A3A"/>
    <w:multiLevelType w:val="hybridMultilevel"/>
    <w:tmpl w:val="E88CE3FC"/>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4823EF"/>
    <w:multiLevelType w:val="hybridMultilevel"/>
    <w:tmpl w:val="6F4EA4F6"/>
    <w:lvl w:ilvl="0" w:tplc="24B48C4C">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AEB2193"/>
    <w:multiLevelType w:val="hybridMultilevel"/>
    <w:tmpl w:val="6FD224C6"/>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C06511"/>
    <w:multiLevelType w:val="hybridMultilevel"/>
    <w:tmpl w:val="1E96A1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ED683D"/>
    <w:multiLevelType w:val="hybridMultilevel"/>
    <w:tmpl w:val="64324AF2"/>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296788"/>
    <w:multiLevelType w:val="hybridMultilevel"/>
    <w:tmpl w:val="44FCDAA2"/>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E9218D"/>
    <w:multiLevelType w:val="hybridMultilevel"/>
    <w:tmpl w:val="E0A6CFAA"/>
    <w:lvl w:ilvl="0" w:tplc="24B48C4C">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31F077C6"/>
    <w:multiLevelType w:val="hybridMultilevel"/>
    <w:tmpl w:val="50DEC6AC"/>
    <w:lvl w:ilvl="0" w:tplc="24B48C4C">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4137F7F"/>
    <w:multiLevelType w:val="hybridMultilevel"/>
    <w:tmpl w:val="2194B79E"/>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464F00"/>
    <w:multiLevelType w:val="hybridMultilevel"/>
    <w:tmpl w:val="F898A20E"/>
    <w:lvl w:ilvl="0" w:tplc="24B48C4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64F42A9"/>
    <w:multiLevelType w:val="hybridMultilevel"/>
    <w:tmpl w:val="03F07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95B68"/>
    <w:multiLevelType w:val="hybridMultilevel"/>
    <w:tmpl w:val="62E4376A"/>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D43FCC"/>
    <w:multiLevelType w:val="hybridMultilevel"/>
    <w:tmpl w:val="6D98E2D0"/>
    <w:lvl w:ilvl="0" w:tplc="24B48C4C">
      <w:start w:val="1"/>
      <w:numFmt w:val="bullet"/>
      <w:lvlText w:val="-"/>
      <w:lvlJc w:val="left"/>
      <w:pPr>
        <w:ind w:left="770" w:hanging="360"/>
      </w:pPr>
      <w:rPr>
        <w:rFonts w:ascii="Courier New" w:hAnsi="Courier New"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15:restartNumberingAfterBreak="0">
    <w:nsid w:val="3EED5A5B"/>
    <w:multiLevelType w:val="hybridMultilevel"/>
    <w:tmpl w:val="5026197C"/>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856701"/>
    <w:multiLevelType w:val="hybridMultilevel"/>
    <w:tmpl w:val="B17A178A"/>
    <w:lvl w:ilvl="0" w:tplc="24B48C4C">
      <w:start w:val="1"/>
      <w:numFmt w:val="bullet"/>
      <w:lvlText w:val="-"/>
      <w:lvlJc w:val="left"/>
      <w:pPr>
        <w:ind w:left="720" w:hanging="360"/>
      </w:pPr>
      <w:rPr>
        <w:rFonts w:ascii="Courier New" w:hAnsi="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5D1D39"/>
    <w:multiLevelType w:val="hybridMultilevel"/>
    <w:tmpl w:val="D0061398"/>
    <w:lvl w:ilvl="0" w:tplc="F600EC8C">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2E501D6"/>
    <w:multiLevelType w:val="hybridMultilevel"/>
    <w:tmpl w:val="429A73F0"/>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694FAF"/>
    <w:multiLevelType w:val="hybridMultilevel"/>
    <w:tmpl w:val="5ADAE61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7C6EFE"/>
    <w:multiLevelType w:val="hybridMultilevel"/>
    <w:tmpl w:val="BFEEA940"/>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303996"/>
    <w:multiLevelType w:val="hybridMultilevel"/>
    <w:tmpl w:val="EDBA88E0"/>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A9239C"/>
    <w:multiLevelType w:val="hybridMultilevel"/>
    <w:tmpl w:val="6D26C2C8"/>
    <w:lvl w:ilvl="0" w:tplc="1A0A4BF2">
      <w:start w:val="1"/>
      <w:numFmt w:val="bullet"/>
      <w:lvlText w:val="-"/>
      <w:lvlJc w:val="left"/>
      <w:pPr>
        <w:ind w:left="720" w:hanging="360"/>
      </w:pPr>
      <w:rPr>
        <w:rFonts w:ascii="Courier New" w:hAnsi="Courier New"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EF6473"/>
    <w:multiLevelType w:val="multilevel"/>
    <w:tmpl w:val="B820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190513"/>
    <w:multiLevelType w:val="hybridMultilevel"/>
    <w:tmpl w:val="D01EA3D6"/>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22"/>
  </w:num>
  <w:num w:numId="5">
    <w:abstractNumId w:val="7"/>
  </w:num>
  <w:num w:numId="6">
    <w:abstractNumId w:val="21"/>
  </w:num>
  <w:num w:numId="7">
    <w:abstractNumId w:val="15"/>
  </w:num>
  <w:num w:numId="8">
    <w:abstractNumId w:val="19"/>
  </w:num>
  <w:num w:numId="9">
    <w:abstractNumId w:val="1"/>
  </w:num>
  <w:num w:numId="10">
    <w:abstractNumId w:val="20"/>
  </w:num>
  <w:num w:numId="11">
    <w:abstractNumId w:val="17"/>
  </w:num>
  <w:num w:numId="12">
    <w:abstractNumId w:val="23"/>
  </w:num>
  <w:num w:numId="13">
    <w:abstractNumId w:val="3"/>
  </w:num>
  <w:num w:numId="14">
    <w:abstractNumId w:val="6"/>
  </w:num>
  <w:num w:numId="15">
    <w:abstractNumId w:val="14"/>
  </w:num>
  <w:num w:numId="16">
    <w:abstractNumId w:val="8"/>
  </w:num>
  <w:num w:numId="17">
    <w:abstractNumId w:val="9"/>
  </w:num>
  <w:num w:numId="18">
    <w:abstractNumId w:val="10"/>
  </w:num>
  <w:num w:numId="19">
    <w:abstractNumId w:val="4"/>
  </w:num>
  <w:num w:numId="20">
    <w:abstractNumId w:val="11"/>
  </w:num>
  <w:num w:numId="21">
    <w:abstractNumId w:val="25"/>
  </w:num>
  <w:num w:numId="22">
    <w:abstractNumId w:val="18"/>
  </w:num>
  <w:num w:numId="23">
    <w:abstractNumId w:val="2"/>
  </w:num>
  <w:num w:numId="24">
    <w:abstractNumId w:val="0"/>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BF"/>
    <w:rsid w:val="0004653E"/>
    <w:rsid w:val="00060A47"/>
    <w:rsid w:val="00074BD2"/>
    <w:rsid w:val="000D13B3"/>
    <w:rsid w:val="000D638D"/>
    <w:rsid w:val="000E1AB0"/>
    <w:rsid w:val="001065FF"/>
    <w:rsid w:val="00106776"/>
    <w:rsid w:val="001336E1"/>
    <w:rsid w:val="00167907"/>
    <w:rsid w:val="001A0BB4"/>
    <w:rsid w:val="001C2092"/>
    <w:rsid w:val="001C7557"/>
    <w:rsid w:val="001D04BA"/>
    <w:rsid w:val="0021142E"/>
    <w:rsid w:val="0026618B"/>
    <w:rsid w:val="00271A8D"/>
    <w:rsid w:val="002A42C4"/>
    <w:rsid w:val="002C1D9F"/>
    <w:rsid w:val="002C77BF"/>
    <w:rsid w:val="002E5BC6"/>
    <w:rsid w:val="00302661"/>
    <w:rsid w:val="0036703F"/>
    <w:rsid w:val="003C4B11"/>
    <w:rsid w:val="003D696D"/>
    <w:rsid w:val="003D6DA0"/>
    <w:rsid w:val="00400B33"/>
    <w:rsid w:val="00403C7F"/>
    <w:rsid w:val="0045295C"/>
    <w:rsid w:val="00456879"/>
    <w:rsid w:val="00476837"/>
    <w:rsid w:val="00477FE2"/>
    <w:rsid w:val="004D7478"/>
    <w:rsid w:val="004F2CA2"/>
    <w:rsid w:val="00505FE4"/>
    <w:rsid w:val="00577DCB"/>
    <w:rsid w:val="005C7E56"/>
    <w:rsid w:val="005F4632"/>
    <w:rsid w:val="006104B2"/>
    <w:rsid w:val="00680D9E"/>
    <w:rsid w:val="006C049B"/>
    <w:rsid w:val="006E43CD"/>
    <w:rsid w:val="00721C9B"/>
    <w:rsid w:val="00797317"/>
    <w:rsid w:val="007B6672"/>
    <w:rsid w:val="007D4596"/>
    <w:rsid w:val="007F2B31"/>
    <w:rsid w:val="00872AF3"/>
    <w:rsid w:val="00872C5A"/>
    <w:rsid w:val="00886C42"/>
    <w:rsid w:val="008F7FCB"/>
    <w:rsid w:val="00937907"/>
    <w:rsid w:val="009722A6"/>
    <w:rsid w:val="009A2571"/>
    <w:rsid w:val="009D00B0"/>
    <w:rsid w:val="009F414B"/>
    <w:rsid w:val="00A02F95"/>
    <w:rsid w:val="00A52A2D"/>
    <w:rsid w:val="00A71603"/>
    <w:rsid w:val="00A97516"/>
    <w:rsid w:val="00AE142C"/>
    <w:rsid w:val="00B22B2D"/>
    <w:rsid w:val="00B34A54"/>
    <w:rsid w:val="00B72B83"/>
    <w:rsid w:val="00BB4CE0"/>
    <w:rsid w:val="00BC2478"/>
    <w:rsid w:val="00BC27CD"/>
    <w:rsid w:val="00BF39DA"/>
    <w:rsid w:val="00C201DA"/>
    <w:rsid w:val="00C21C93"/>
    <w:rsid w:val="00C31D3A"/>
    <w:rsid w:val="00C719E7"/>
    <w:rsid w:val="00CB6988"/>
    <w:rsid w:val="00CF386A"/>
    <w:rsid w:val="00D24C06"/>
    <w:rsid w:val="00D30042"/>
    <w:rsid w:val="00D446B6"/>
    <w:rsid w:val="00D500B4"/>
    <w:rsid w:val="00D66A03"/>
    <w:rsid w:val="00DB1CF8"/>
    <w:rsid w:val="00DE7191"/>
    <w:rsid w:val="00E10B8B"/>
    <w:rsid w:val="00E11AA9"/>
    <w:rsid w:val="00E20DC4"/>
    <w:rsid w:val="00E82564"/>
    <w:rsid w:val="00F27737"/>
    <w:rsid w:val="00F31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8A51"/>
  <w15:chartTrackingRefBased/>
  <w15:docId w15:val="{2BB8CCD8-405F-486B-AAD1-0E71580A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F7F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7FCB"/>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21C9B"/>
    <w:rPr>
      <w:color w:val="0563C1" w:themeColor="hyperlink"/>
      <w:u w:val="single"/>
    </w:rPr>
  </w:style>
  <w:style w:type="paragraph" w:styleId="Paragraphedeliste">
    <w:name w:val="List Paragraph"/>
    <w:basedOn w:val="Normal"/>
    <w:uiPriority w:val="34"/>
    <w:qFormat/>
    <w:rsid w:val="00721C9B"/>
    <w:pPr>
      <w:ind w:left="720"/>
      <w:contextualSpacing/>
    </w:pPr>
  </w:style>
  <w:style w:type="paragraph" w:customStyle="1" w:styleId="Default">
    <w:name w:val="Default"/>
    <w:rsid w:val="007D4596"/>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7D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91367">
      <w:bodyDiv w:val="1"/>
      <w:marLeft w:val="0"/>
      <w:marRight w:val="0"/>
      <w:marTop w:val="0"/>
      <w:marBottom w:val="0"/>
      <w:divBdr>
        <w:top w:val="none" w:sz="0" w:space="0" w:color="auto"/>
        <w:left w:val="none" w:sz="0" w:space="0" w:color="auto"/>
        <w:bottom w:val="none" w:sz="0" w:space="0" w:color="auto"/>
        <w:right w:val="none" w:sz="0" w:space="0" w:color="auto"/>
      </w:divBdr>
    </w:div>
    <w:div w:id="837580529">
      <w:bodyDiv w:val="1"/>
      <w:marLeft w:val="0"/>
      <w:marRight w:val="0"/>
      <w:marTop w:val="0"/>
      <w:marBottom w:val="0"/>
      <w:divBdr>
        <w:top w:val="none" w:sz="0" w:space="0" w:color="auto"/>
        <w:left w:val="none" w:sz="0" w:space="0" w:color="auto"/>
        <w:bottom w:val="none" w:sz="0" w:space="0" w:color="auto"/>
        <w:right w:val="none" w:sz="0" w:space="0" w:color="auto"/>
      </w:divBdr>
    </w:div>
    <w:div w:id="1559592258">
      <w:bodyDiv w:val="1"/>
      <w:marLeft w:val="0"/>
      <w:marRight w:val="0"/>
      <w:marTop w:val="0"/>
      <w:marBottom w:val="0"/>
      <w:divBdr>
        <w:top w:val="none" w:sz="0" w:space="0" w:color="auto"/>
        <w:left w:val="none" w:sz="0" w:space="0" w:color="auto"/>
        <w:bottom w:val="none" w:sz="0" w:space="0" w:color="auto"/>
        <w:right w:val="none" w:sz="0" w:space="0" w:color="auto"/>
      </w:divBdr>
    </w:div>
    <w:div w:id="18593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cae-2022-secteur-medico-soc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emarches-simplifiees.fr/commencer/cae2022-secteur-sanitair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ledefrance.ars.sante.fr/contrat-dallocation-detudes-campagne-2022" TargetMode="External"/><Relationship Id="rId11" Type="http://schemas.openxmlformats.org/officeDocument/2006/relationships/hyperlink" Target="mailto:Dominique.CHAREYRE@ars.sante.fr" TargetMode="External"/><Relationship Id="rId5" Type="http://schemas.openxmlformats.org/officeDocument/2006/relationships/webSettings" Target="webSettings.xml"/><Relationship Id="rId10" Type="http://schemas.openxmlformats.org/officeDocument/2006/relationships/hyperlink" Target="mailto:morgane.cazalet@ars.sante.f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27AE-7EAD-4BE5-8515-2192843E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1930</Words>
  <Characters>10621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CAZALET, Morgane</dc:creator>
  <cp:keywords/>
  <dc:description/>
  <cp:lastModifiedBy>CHAREYRE, Dominique</cp:lastModifiedBy>
  <cp:revision>12</cp:revision>
  <dcterms:created xsi:type="dcterms:W3CDTF">2022-05-23T09:04:00Z</dcterms:created>
  <dcterms:modified xsi:type="dcterms:W3CDTF">2022-05-31T10:32:00Z</dcterms:modified>
</cp:coreProperties>
</file>