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1696"/>
        <w:gridCol w:w="5245"/>
        <w:gridCol w:w="2089"/>
      </w:tblGrid>
      <w:tr w:rsidR="008F386F" w:rsidRPr="003F2253" w14:paraId="029252B8" w14:textId="77777777" w:rsidTr="008F386F">
        <w:trPr>
          <w:trHeight w:val="530"/>
        </w:trPr>
        <w:tc>
          <w:tcPr>
            <w:tcW w:w="1696" w:type="dxa"/>
            <w:vMerge w:val="restart"/>
            <w:vAlign w:val="center"/>
          </w:tcPr>
          <w:p w14:paraId="1A62D23F" w14:textId="77777777" w:rsidR="008F386F" w:rsidRPr="003F2253" w:rsidRDefault="008F386F" w:rsidP="00210987">
            <w:pPr>
              <w:pStyle w:val="En-tte"/>
              <w:jc w:val="center"/>
              <w:rPr>
                <w:i/>
              </w:rPr>
            </w:pPr>
            <w:r w:rsidRPr="003F2253">
              <w:rPr>
                <w:i/>
                <w:color w:val="808080" w:themeColor="background1" w:themeShade="80"/>
              </w:rPr>
              <w:t>Logo de l’établissement</w:t>
            </w:r>
          </w:p>
        </w:tc>
        <w:tc>
          <w:tcPr>
            <w:tcW w:w="5245" w:type="dxa"/>
            <w:vAlign w:val="center"/>
          </w:tcPr>
          <w:p w14:paraId="5C28710F" w14:textId="77777777" w:rsidR="008F386F" w:rsidRPr="008F386F" w:rsidRDefault="008F386F" w:rsidP="00210987">
            <w:pPr>
              <w:pStyle w:val="En-tte"/>
              <w:jc w:val="center"/>
              <w:rPr>
                <w:color w:val="2E74B5" w:themeColor="accent1" w:themeShade="BF"/>
                <w:sz w:val="24"/>
              </w:rPr>
            </w:pPr>
            <w:r w:rsidRPr="008F386F">
              <w:rPr>
                <w:color w:val="2E74B5" w:themeColor="accent1" w:themeShade="BF"/>
                <w:sz w:val="24"/>
              </w:rPr>
              <w:t xml:space="preserve">Charte de fonctionnement </w:t>
            </w:r>
          </w:p>
        </w:tc>
        <w:tc>
          <w:tcPr>
            <w:tcW w:w="2089" w:type="dxa"/>
            <w:vAlign w:val="center"/>
          </w:tcPr>
          <w:p w14:paraId="168632CE" w14:textId="77777777" w:rsidR="008F386F" w:rsidRDefault="008F386F" w:rsidP="00210987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Date de création :</w:t>
            </w:r>
          </w:p>
          <w:p w14:paraId="3557C0F5" w14:textId="77777777" w:rsidR="008F386F" w:rsidRPr="003F2253" w:rsidRDefault="008F386F" w:rsidP="00210987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</w:tr>
      <w:tr w:rsidR="008F386F" w:rsidRPr="003F2253" w14:paraId="4D6CF211" w14:textId="77777777" w:rsidTr="008F386F">
        <w:trPr>
          <w:trHeight w:val="530"/>
        </w:trPr>
        <w:tc>
          <w:tcPr>
            <w:tcW w:w="1696" w:type="dxa"/>
            <w:vMerge/>
            <w:vAlign w:val="center"/>
          </w:tcPr>
          <w:p w14:paraId="427C1CE8" w14:textId="77777777" w:rsidR="008F386F" w:rsidRPr="003F2253" w:rsidRDefault="008F386F" w:rsidP="00210987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  <w:tc>
          <w:tcPr>
            <w:tcW w:w="5245" w:type="dxa"/>
            <w:vAlign w:val="center"/>
          </w:tcPr>
          <w:p w14:paraId="2E6DD5BD" w14:textId="1BD00F0A" w:rsidR="008F386F" w:rsidRPr="008F386F" w:rsidRDefault="008F386F" w:rsidP="00856BAB">
            <w:pPr>
              <w:pStyle w:val="En-tte"/>
              <w:jc w:val="center"/>
              <w:rPr>
                <w:color w:val="2E74B5" w:themeColor="accent1" w:themeShade="BF"/>
                <w:sz w:val="24"/>
              </w:rPr>
            </w:pPr>
            <w:r w:rsidRPr="008F386F">
              <w:rPr>
                <w:color w:val="2E74B5" w:themeColor="accent1" w:themeShade="BF"/>
                <w:sz w:val="24"/>
              </w:rPr>
              <w:t xml:space="preserve">« Comité </w:t>
            </w:r>
            <w:r w:rsidR="00856BAB">
              <w:rPr>
                <w:color w:val="2E74B5" w:themeColor="accent1" w:themeShade="BF"/>
                <w:sz w:val="24"/>
              </w:rPr>
              <w:t>Prise en charge médicamenteuse</w:t>
            </w:r>
            <w:r w:rsidRPr="008F386F">
              <w:rPr>
                <w:color w:val="2E74B5" w:themeColor="accent1" w:themeShade="BF"/>
                <w:sz w:val="24"/>
              </w:rPr>
              <w:t> »</w:t>
            </w:r>
          </w:p>
        </w:tc>
        <w:tc>
          <w:tcPr>
            <w:tcW w:w="2089" w:type="dxa"/>
            <w:vAlign w:val="center"/>
          </w:tcPr>
          <w:p w14:paraId="46AD7BE4" w14:textId="77777777" w:rsidR="008F386F" w:rsidRDefault="008F386F" w:rsidP="00210987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Date de mise à jour :</w:t>
            </w:r>
          </w:p>
          <w:p w14:paraId="0876B791" w14:textId="77777777" w:rsidR="008F386F" w:rsidRDefault="008F386F" w:rsidP="00210987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</w:tr>
    </w:tbl>
    <w:p w14:paraId="678F5F73" w14:textId="77777777" w:rsidR="008E3C9D" w:rsidRDefault="00CF123B"/>
    <w:p w14:paraId="024DA07D" w14:textId="77777777" w:rsidR="009F7F34" w:rsidRDefault="009F7F34" w:rsidP="008F386F">
      <w:pPr>
        <w:pStyle w:val="Titre1"/>
        <w:jc w:val="both"/>
      </w:pPr>
      <w:r w:rsidRPr="009F7F34">
        <w:t xml:space="preserve">Composition </w:t>
      </w:r>
      <w:r w:rsidR="008F386F">
        <w:t>et R</w:t>
      </w:r>
      <w:r>
        <w:t>éférent</w:t>
      </w:r>
    </w:p>
    <w:p w14:paraId="7712897D" w14:textId="3FE241ED" w:rsidR="009F7F34" w:rsidRDefault="009F7F34" w:rsidP="008F386F">
      <w:pPr>
        <w:jc w:val="both"/>
      </w:pPr>
      <w:r>
        <w:t xml:space="preserve">Le </w:t>
      </w:r>
      <w:r w:rsidR="00121A69">
        <w:t>C</w:t>
      </w:r>
      <w:r>
        <w:t xml:space="preserve">omité </w:t>
      </w:r>
      <w:r w:rsidR="00856BAB">
        <w:t>Prise En Charge Médicamenteuse</w:t>
      </w:r>
      <w:r>
        <w:t xml:space="preserve"> (</w:t>
      </w:r>
      <w:r w:rsidR="0088260A">
        <w:t xml:space="preserve">Comité </w:t>
      </w:r>
      <w:r w:rsidR="00856BAB">
        <w:t>PEC</w:t>
      </w:r>
      <w:r>
        <w:t xml:space="preserve">M) est composé des membres suivants : </w:t>
      </w:r>
    </w:p>
    <w:p w14:paraId="1D317574" w14:textId="77777777" w:rsidR="009F7F34" w:rsidRDefault="009F7F34" w:rsidP="008F386F">
      <w:pPr>
        <w:pStyle w:val="Paragraphedeliste"/>
        <w:numPr>
          <w:ilvl w:val="0"/>
          <w:numId w:val="4"/>
        </w:numPr>
        <w:jc w:val="both"/>
      </w:pPr>
      <w:r>
        <w:t>Médecin coordonnateur</w:t>
      </w:r>
    </w:p>
    <w:p w14:paraId="0D73A30F" w14:textId="77777777" w:rsidR="009F7F34" w:rsidRPr="00121A69" w:rsidRDefault="009F7F34" w:rsidP="008F386F">
      <w:pPr>
        <w:pStyle w:val="Paragraphedeliste"/>
        <w:numPr>
          <w:ilvl w:val="0"/>
          <w:numId w:val="4"/>
        </w:numPr>
        <w:jc w:val="both"/>
      </w:pPr>
      <w:r w:rsidRPr="00121A69">
        <w:t>IDEC</w:t>
      </w:r>
    </w:p>
    <w:p w14:paraId="2843279B" w14:textId="77777777" w:rsidR="009F7F34" w:rsidRDefault="009F7F34" w:rsidP="008F386F">
      <w:pPr>
        <w:pStyle w:val="Paragraphedeliste"/>
        <w:numPr>
          <w:ilvl w:val="0"/>
          <w:numId w:val="4"/>
        </w:numPr>
        <w:jc w:val="both"/>
      </w:pPr>
      <w:r w:rsidRPr="00121A69">
        <w:t>Pharmacien</w:t>
      </w:r>
    </w:p>
    <w:p w14:paraId="33531EC8" w14:textId="77777777" w:rsidR="00121A69" w:rsidRDefault="00121A69" w:rsidP="008F386F">
      <w:pPr>
        <w:pStyle w:val="Paragraphedeliste"/>
        <w:numPr>
          <w:ilvl w:val="0"/>
          <w:numId w:val="4"/>
        </w:numPr>
        <w:jc w:val="both"/>
      </w:pPr>
      <w:r>
        <w:t>Référent CDM</w:t>
      </w:r>
    </w:p>
    <w:p w14:paraId="16D09E59" w14:textId="77777777" w:rsidR="00400D7D" w:rsidRDefault="00400D7D" w:rsidP="00400D7D">
      <w:pPr>
        <w:pStyle w:val="Paragraphedeliste"/>
        <w:numPr>
          <w:ilvl w:val="0"/>
          <w:numId w:val="4"/>
        </w:numPr>
        <w:jc w:val="both"/>
      </w:pPr>
      <w:r>
        <w:t>Directeur de l’établissement selon l’ordre du jour</w:t>
      </w:r>
    </w:p>
    <w:p w14:paraId="5C577EF1" w14:textId="0B0E907C" w:rsidR="009F7F34" w:rsidRDefault="009F7F34" w:rsidP="008F386F">
      <w:pPr>
        <w:jc w:val="both"/>
        <w:rPr>
          <w:i/>
        </w:rPr>
      </w:pPr>
      <w:proofErr w:type="gramStart"/>
      <w:r w:rsidRPr="0088260A">
        <w:rPr>
          <w:color w:val="2E74B5" w:themeColor="accent1" w:themeShade="BF"/>
        </w:rPr>
        <w:t>M.</w:t>
      </w:r>
      <w:r w:rsidR="0088260A" w:rsidRPr="0088260A">
        <w:rPr>
          <w:color w:val="2E74B5" w:themeColor="accent1" w:themeShade="BF"/>
        </w:rPr>
        <w:t>/</w:t>
      </w:r>
      <w:proofErr w:type="gramEnd"/>
      <w:r w:rsidR="0088260A" w:rsidRPr="0088260A">
        <w:rPr>
          <w:color w:val="2E74B5" w:themeColor="accent1" w:themeShade="BF"/>
        </w:rPr>
        <w:t>Mme XXX (préciser sa fonction)</w:t>
      </w:r>
      <w:r w:rsidRPr="0088260A">
        <w:rPr>
          <w:color w:val="5B9BD5" w:themeColor="accent1"/>
        </w:rPr>
        <w:t xml:space="preserve"> </w:t>
      </w:r>
      <w:r>
        <w:t xml:space="preserve">a été désigné </w:t>
      </w:r>
      <w:r w:rsidR="004F2D4C" w:rsidRPr="00C665C6">
        <w:rPr>
          <w:b/>
        </w:rPr>
        <w:t>R</w:t>
      </w:r>
      <w:r w:rsidRPr="00C665C6">
        <w:rPr>
          <w:b/>
        </w:rPr>
        <w:t>é</w:t>
      </w:r>
      <w:r w:rsidRPr="009F7F34">
        <w:rPr>
          <w:b/>
        </w:rPr>
        <w:t xml:space="preserve">férent </w:t>
      </w:r>
      <w:r w:rsidR="00856BAB">
        <w:rPr>
          <w:b/>
        </w:rPr>
        <w:t>Prise en charge médicamenteuse</w:t>
      </w:r>
      <w:r>
        <w:t xml:space="preserve"> au sein de l’établissement. </w:t>
      </w:r>
      <w:r w:rsidRPr="009F7F34">
        <w:rPr>
          <w:i/>
        </w:rPr>
        <w:t>(</w:t>
      </w:r>
      <w:proofErr w:type="spellStart"/>
      <w:r w:rsidRPr="009F7F34">
        <w:rPr>
          <w:i/>
        </w:rPr>
        <w:t>cf</w:t>
      </w:r>
      <w:proofErr w:type="spellEnd"/>
      <w:r w:rsidRPr="009F7F34">
        <w:rPr>
          <w:i/>
        </w:rPr>
        <w:t xml:space="preserve"> fiche de fonction du référent </w:t>
      </w:r>
      <w:r w:rsidR="00856BAB">
        <w:rPr>
          <w:i/>
        </w:rPr>
        <w:t>PECM</w:t>
      </w:r>
      <w:r w:rsidRPr="009F7F34">
        <w:rPr>
          <w:i/>
        </w:rPr>
        <w:t>)</w:t>
      </w:r>
    </w:p>
    <w:p w14:paraId="23ADCFC0" w14:textId="77777777" w:rsidR="009F7F34" w:rsidRDefault="00121A69" w:rsidP="008F386F">
      <w:pPr>
        <w:jc w:val="both"/>
      </w:pPr>
      <w:r w:rsidRPr="00121A69">
        <w:t xml:space="preserve">En fonction de l’ordre du jour et de la structure de l’établissement, d’autres professionnels pourront être conviés : préparateur en pharmacie, médecins prescripteurs, infirmiers, </w:t>
      </w:r>
      <w:r>
        <w:t xml:space="preserve">responsable de la gestion des risques, </w:t>
      </w:r>
      <w:r w:rsidRPr="00121A69">
        <w:t xml:space="preserve">etc.  </w:t>
      </w:r>
    </w:p>
    <w:p w14:paraId="1762ABE0" w14:textId="77777777" w:rsidR="00FC68DB" w:rsidRDefault="00FC68DB" w:rsidP="008F386F">
      <w:pPr>
        <w:jc w:val="both"/>
      </w:pPr>
    </w:p>
    <w:p w14:paraId="3F686D4B" w14:textId="37DFE59D" w:rsidR="00FC68DB" w:rsidRPr="00FC68DB" w:rsidRDefault="00FC68DB" w:rsidP="008F386F">
      <w:pPr>
        <w:jc w:val="both"/>
        <w:rPr>
          <w:i/>
        </w:rPr>
      </w:pPr>
      <w:r w:rsidRPr="00FC68DB">
        <w:rPr>
          <w:i/>
        </w:rPr>
        <w:t>De façon à promouvoir le partage d’expérience entre établissements et limiter le nombre de réunions pour les professionnels libéraux</w:t>
      </w:r>
      <w:r>
        <w:rPr>
          <w:i/>
        </w:rPr>
        <w:t xml:space="preserve"> qui interviendraient dans différents EHPAD du territoire</w:t>
      </w:r>
      <w:r w:rsidRPr="00FC68DB">
        <w:rPr>
          <w:i/>
        </w:rPr>
        <w:t>, un Comité PECM peut être créé pour plusieurs EHPAD.</w:t>
      </w:r>
    </w:p>
    <w:p w14:paraId="5E07B750" w14:textId="77777777" w:rsidR="0088260A" w:rsidRPr="009F7F34" w:rsidRDefault="0088260A" w:rsidP="008F386F">
      <w:pPr>
        <w:jc w:val="both"/>
        <w:rPr>
          <w:i/>
        </w:rPr>
      </w:pPr>
    </w:p>
    <w:p w14:paraId="69106B9A" w14:textId="77777777" w:rsidR="009F7F34" w:rsidRPr="009F7F34" w:rsidRDefault="008F386F" w:rsidP="008F386F">
      <w:pPr>
        <w:pStyle w:val="Titre1"/>
        <w:jc w:val="both"/>
      </w:pPr>
      <w:r>
        <w:t>Rôle et organisation</w:t>
      </w:r>
    </w:p>
    <w:p w14:paraId="35FCD03B" w14:textId="386AE325" w:rsidR="008F386F" w:rsidRDefault="00953CED" w:rsidP="008F386F">
      <w:pPr>
        <w:jc w:val="both"/>
      </w:pPr>
      <w:r>
        <w:t>Le C</w:t>
      </w:r>
      <w:r w:rsidR="008F386F">
        <w:t xml:space="preserve">omité </w:t>
      </w:r>
      <w:r w:rsidR="00856BAB">
        <w:t>PECM</w:t>
      </w:r>
      <w:r>
        <w:t xml:space="preserve"> promeut et met en œuvre la politique de qualité et sécurité </w:t>
      </w:r>
      <w:r w:rsidR="00134AC4">
        <w:t>de la PECM</w:t>
      </w:r>
      <w:r>
        <w:t xml:space="preserve"> au sein de l’établissement. Il</w:t>
      </w:r>
      <w:r w:rsidR="008F386F">
        <w:t xml:space="preserve"> diffuse et veille à l’application des bonnes pratiques de pr</w:t>
      </w:r>
      <w:r>
        <w:t>ise en charge médicamenteuse.</w:t>
      </w:r>
    </w:p>
    <w:p w14:paraId="3ECD46BE" w14:textId="77777777" w:rsidR="009F7F34" w:rsidRDefault="008F386F" w:rsidP="008F386F">
      <w:pPr>
        <w:jc w:val="both"/>
      </w:pPr>
      <w:r>
        <w:t>Il s</w:t>
      </w:r>
      <w:r w:rsidR="00953CED">
        <w:t xml:space="preserve">e réunit 2 fois par an </w:t>
      </w:r>
      <w:r w:rsidR="00953CED" w:rsidRPr="00953CED">
        <w:rPr>
          <w:color w:val="2E74B5" w:themeColor="accent1" w:themeShade="BF"/>
        </w:rPr>
        <w:t xml:space="preserve">(fréquence à </w:t>
      </w:r>
      <w:r w:rsidR="0088260A">
        <w:rPr>
          <w:color w:val="2E74B5" w:themeColor="accent1" w:themeShade="BF"/>
        </w:rPr>
        <w:t>adapter</w:t>
      </w:r>
      <w:r w:rsidR="00953CED" w:rsidRPr="00953CED">
        <w:rPr>
          <w:color w:val="2E74B5" w:themeColor="accent1" w:themeShade="BF"/>
        </w:rPr>
        <w:t> selon l’établissement)</w:t>
      </w:r>
      <w:r w:rsidR="00953CED">
        <w:t>.</w:t>
      </w:r>
    </w:p>
    <w:p w14:paraId="641FC2A9" w14:textId="77777777" w:rsidR="008F386F" w:rsidRDefault="008F386F" w:rsidP="008F386F">
      <w:pPr>
        <w:jc w:val="both"/>
      </w:pPr>
      <w:r>
        <w:t xml:space="preserve">Chaque réunion fait l’objet </w:t>
      </w:r>
      <w:r w:rsidR="00975A7E">
        <w:t xml:space="preserve">d’un ordre du jour et d’un compte-rendu / </w:t>
      </w:r>
      <w:r>
        <w:t>relevé de décisions.</w:t>
      </w:r>
    </w:p>
    <w:p w14:paraId="317BACDB" w14:textId="3050C5AB" w:rsidR="009F7F34" w:rsidRDefault="00975A7E" w:rsidP="008F386F">
      <w:pPr>
        <w:jc w:val="both"/>
      </w:pPr>
      <w:r w:rsidRPr="00975A7E">
        <w:rPr>
          <w:i/>
        </w:rPr>
        <w:t xml:space="preserve">Exemples de sujets pouvant être abordés : </w:t>
      </w:r>
      <w:r>
        <w:rPr>
          <w:i/>
        </w:rPr>
        <w:t xml:space="preserve">mise en place du livret thérapeutique, actualité des déremboursements de médicaments, consommation de certaines classes thérapeutiques (antibiotiques, NL, anti-infectieux, etc.), mise à jour des protocoles, analyse des événements indésirables </w:t>
      </w:r>
      <w:r w:rsidR="00134AC4">
        <w:rPr>
          <w:i/>
        </w:rPr>
        <w:t>médicamenteux</w:t>
      </w:r>
      <w:r>
        <w:rPr>
          <w:i/>
        </w:rPr>
        <w:t xml:space="preserve">, suivi des indicateurs médico-économiques liés aux médicaments, gestion des risques a priori (auto-évaluation </w:t>
      </w:r>
      <w:r w:rsidR="00134AC4">
        <w:rPr>
          <w:i/>
        </w:rPr>
        <w:t>de la PECM</w:t>
      </w:r>
      <w:r>
        <w:rPr>
          <w:i/>
        </w:rPr>
        <w:t>), système d’i</w:t>
      </w:r>
      <w:r w:rsidR="00134AC4">
        <w:rPr>
          <w:i/>
        </w:rPr>
        <w:t>nformation et informatisation de de la PECM</w:t>
      </w:r>
      <w:r>
        <w:rPr>
          <w:i/>
        </w:rPr>
        <w:t xml:space="preserve">, mise à jour des dotations,  </w:t>
      </w:r>
      <w:r w:rsidR="00B54114">
        <w:rPr>
          <w:i/>
        </w:rPr>
        <w:t xml:space="preserve">suivi de la consommation des classes thérapeutiques à risque, </w:t>
      </w:r>
      <w:r w:rsidR="003B6AED">
        <w:rPr>
          <w:i/>
        </w:rPr>
        <w:t xml:space="preserve">auto-évaluation de l’administration des médicaments par les IDE, </w:t>
      </w:r>
      <w:r w:rsidR="00C72485">
        <w:rPr>
          <w:i/>
        </w:rPr>
        <w:t xml:space="preserve">sensibilisation des prescripteurs à l’utilisation du logiciel d’aide à la prescription, </w:t>
      </w:r>
      <w:r>
        <w:rPr>
          <w:i/>
        </w:rPr>
        <w:t>etc.</w:t>
      </w:r>
    </w:p>
    <w:p w14:paraId="70A310C4" w14:textId="77777777" w:rsidR="00FF25BC" w:rsidRPr="00FF25BC" w:rsidRDefault="00AA7F46" w:rsidP="002F1B39">
      <w:pPr>
        <w:pBdr>
          <w:top w:val="single" w:sz="4" w:space="1" w:color="A6A6A6" w:themeColor="background1" w:themeShade="A6"/>
          <w:left w:val="single" w:sz="4" w:space="4" w:color="A6A6A6" w:themeColor="background1" w:themeShade="A6"/>
          <w:bottom w:val="single" w:sz="4" w:space="1" w:color="A6A6A6" w:themeColor="background1" w:themeShade="A6"/>
          <w:right w:val="single" w:sz="4" w:space="4" w:color="A6A6A6" w:themeColor="background1" w:themeShade="A6"/>
        </w:pBdr>
        <w:jc w:val="both"/>
        <w:rPr>
          <w:i/>
          <w:color w:val="808080" w:themeColor="background1" w:themeShade="80"/>
        </w:rPr>
      </w:pPr>
      <w:r w:rsidRPr="00AA7F46">
        <w:rPr>
          <w:i/>
          <w:color w:val="808080" w:themeColor="background1" w:themeShade="80"/>
        </w:rPr>
        <w:t>Selon la disponibilité des acteurs au sein de l’établissement, le Comité CDM peut s’intégrer à d’autres réunions institutionnelles afin de ne pas multiplier les instances.</w:t>
      </w:r>
    </w:p>
    <w:p w14:paraId="3AC72CC9" w14:textId="77777777" w:rsidR="00FF25BC" w:rsidRDefault="00FF25BC" w:rsidP="00FF25BC"/>
    <w:p w14:paraId="060DDEFC" w14:textId="77777777" w:rsidR="009F7F34" w:rsidRDefault="009F7F34" w:rsidP="008F386F">
      <w:pPr>
        <w:pStyle w:val="Titre1"/>
        <w:jc w:val="both"/>
      </w:pPr>
      <w:r>
        <w:lastRenderedPageBreak/>
        <w:t>Missions</w:t>
      </w:r>
    </w:p>
    <w:p w14:paraId="5D30135B" w14:textId="0EB0E2BC" w:rsidR="009F7F34" w:rsidRDefault="00975A7E" w:rsidP="008F386F">
      <w:pPr>
        <w:jc w:val="both"/>
      </w:pPr>
      <w:r>
        <w:t>Les missions du C</w:t>
      </w:r>
      <w:r w:rsidR="00134AC4">
        <w:t xml:space="preserve">omité PECM </w:t>
      </w:r>
      <w:r w:rsidR="009F7F34">
        <w:t>sont les suivantes :</w:t>
      </w:r>
    </w:p>
    <w:p w14:paraId="1863718A" w14:textId="77777777" w:rsidR="009F7F34" w:rsidRDefault="00975A7E" w:rsidP="008F386F">
      <w:pPr>
        <w:pStyle w:val="Paragraphedeliste"/>
        <w:numPr>
          <w:ilvl w:val="0"/>
          <w:numId w:val="5"/>
        </w:numPr>
        <w:jc w:val="both"/>
      </w:pPr>
      <w:r>
        <w:t xml:space="preserve">Définir un plan d’actions d’amélioration de la prise en </w:t>
      </w:r>
      <w:r w:rsidR="009F7F34">
        <w:t xml:space="preserve">charge médicamenteuse </w:t>
      </w:r>
      <w:r>
        <w:t>et en assurer le suivi (indicateurs et tableaux de bord)</w:t>
      </w:r>
    </w:p>
    <w:p w14:paraId="3A0768B1" w14:textId="77777777" w:rsidR="002F4D89" w:rsidRDefault="002F4D89" w:rsidP="002F4D89">
      <w:pPr>
        <w:pStyle w:val="Paragraphedeliste"/>
        <w:numPr>
          <w:ilvl w:val="0"/>
          <w:numId w:val="5"/>
        </w:numPr>
        <w:jc w:val="both"/>
      </w:pPr>
      <w:r>
        <w:t>Organiser la communication et diffuser les bonnes pratiques et les outils adéquats auprès de l’ensemble des professionnels de l’établissement (exemple : création de supports, gestion documentaire)</w:t>
      </w:r>
    </w:p>
    <w:p w14:paraId="4948128F" w14:textId="77777777" w:rsidR="008355A6" w:rsidRPr="009220C0" w:rsidRDefault="008355A6" w:rsidP="008355A6">
      <w:pPr>
        <w:pStyle w:val="Paragraphedeliste"/>
        <w:numPr>
          <w:ilvl w:val="0"/>
          <w:numId w:val="5"/>
        </w:numPr>
        <w:jc w:val="both"/>
      </w:pPr>
      <w:r>
        <w:t xml:space="preserve">Elaborer et mettre à jour le livret thérapeutique (si nécessaire à partir de la liste </w:t>
      </w:r>
      <w:r w:rsidRPr="009220C0">
        <w:t>préférentielle de médicaments) et sensibiliser les prescripteurs à son utilisation</w:t>
      </w:r>
    </w:p>
    <w:p w14:paraId="6CFCE3FE" w14:textId="77777777" w:rsidR="00DC5420" w:rsidRPr="009220C0" w:rsidRDefault="002F4D89" w:rsidP="008F386F">
      <w:pPr>
        <w:pStyle w:val="Paragraphedeliste"/>
        <w:numPr>
          <w:ilvl w:val="0"/>
          <w:numId w:val="5"/>
        </w:numPr>
        <w:jc w:val="both"/>
      </w:pPr>
      <w:r w:rsidRPr="009220C0">
        <w:t>Organiser la vigilance pharmaceutique (alertes descendantes, retrait de lots</w:t>
      </w:r>
      <w:r w:rsidR="00DC5420" w:rsidRPr="009220C0">
        <w:t>)</w:t>
      </w:r>
    </w:p>
    <w:p w14:paraId="3CC384A1" w14:textId="77777777" w:rsidR="00F24DAF" w:rsidRPr="009220C0" w:rsidRDefault="00F24DAF" w:rsidP="008F386F">
      <w:pPr>
        <w:pStyle w:val="Paragraphedeliste"/>
        <w:numPr>
          <w:ilvl w:val="0"/>
          <w:numId w:val="5"/>
        </w:numPr>
        <w:jc w:val="both"/>
      </w:pPr>
      <w:r w:rsidRPr="009220C0">
        <w:t>Permettre aux résidents autonomes d’être associés à leur prise en charge médicamenteuse </w:t>
      </w:r>
    </w:p>
    <w:p w14:paraId="33C3E9FC" w14:textId="77777777" w:rsidR="002F4D89" w:rsidRPr="009220C0" w:rsidRDefault="00DC5420" w:rsidP="008F386F">
      <w:pPr>
        <w:pStyle w:val="Paragraphedeliste"/>
        <w:numPr>
          <w:ilvl w:val="0"/>
          <w:numId w:val="5"/>
        </w:numPr>
        <w:jc w:val="both"/>
      </w:pPr>
      <w:r w:rsidRPr="009220C0">
        <w:t>Suivre les actualités thérapeutiques chez la personne âgée</w:t>
      </w:r>
    </w:p>
    <w:p w14:paraId="7DF425AF" w14:textId="77777777" w:rsidR="00E40167" w:rsidRPr="009220C0" w:rsidRDefault="00E40167" w:rsidP="003D7F1C">
      <w:pPr>
        <w:pStyle w:val="Paragraphedeliste"/>
        <w:numPr>
          <w:ilvl w:val="0"/>
          <w:numId w:val="5"/>
        </w:numPr>
        <w:jc w:val="both"/>
      </w:pPr>
      <w:r w:rsidRPr="009220C0">
        <w:t>Assurer la gestion des événements indésirables liés aux médicaments</w:t>
      </w:r>
      <w:r w:rsidR="004F2D4C" w:rsidRPr="009220C0">
        <w:t xml:space="preserve"> </w:t>
      </w:r>
      <w:r w:rsidRPr="009220C0">
        <w:t xml:space="preserve">: </w:t>
      </w:r>
    </w:p>
    <w:p w14:paraId="1A56B32C" w14:textId="77777777" w:rsidR="00E40167" w:rsidRPr="009220C0" w:rsidRDefault="00E40167" w:rsidP="00E40167">
      <w:pPr>
        <w:pStyle w:val="Paragraphedeliste"/>
        <w:numPr>
          <w:ilvl w:val="1"/>
          <w:numId w:val="5"/>
        </w:numPr>
        <w:jc w:val="both"/>
      </w:pPr>
      <w:r w:rsidRPr="009220C0">
        <w:t>S</w:t>
      </w:r>
      <w:r w:rsidR="008F386F" w:rsidRPr="009220C0">
        <w:t>ensibiliser les professionnels au repérage et à la déclara</w:t>
      </w:r>
      <w:r w:rsidRPr="009220C0">
        <w:t>tion</w:t>
      </w:r>
    </w:p>
    <w:p w14:paraId="0B24578F" w14:textId="77777777" w:rsidR="004F2D4C" w:rsidRDefault="00E40167" w:rsidP="004F2D4C">
      <w:pPr>
        <w:pStyle w:val="Paragraphedeliste"/>
        <w:numPr>
          <w:ilvl w:val="1"/>
          <w:numId w:val="5"/>
        </w:numPr>
        <w:jc w:val="both"/>
      </w:pPr>
      <w:r>
        <w:t>Mettre à disposition des outils</w:t>
      </w:r>
      <w:r w:rsidR="004F2D4C">
        <w:t xml:space="preserve"> (</w:t>
      </w:r>
      <w:r w:rsidR="0088260A">
        <w:t>fiche de signalement)</w:t>
      </w:r>
    </w:p>
    <w:p w14:paraId="0C3FC1C0" w14:textId="77777777" w:rsidR="00E40167" w:rsidRDefault="00E40167" w:rsidP="00E40167">
      <w:pPr>
        <w:pStyle w:val="Paragraphedeliste"/>
        <w:numPr>
          <w:ilvl w:val="1"/>
          <w:numId w:val="5"/>
        </w:numPr>
        <w:jc w:val="both"/>
      </w:pPr>
      <w:r>
        <w:t xml:space="preserve">Analyser (qualitatif et quantitatif) </w:t>
      </w:r>
    </w:p>
    <w:p w14:paraId="04F88A17" w14:textId="77777777" w:rsidR="004F2D4C" w:rsidRDefault="00E40167" w:rsidP="004F2D4C">
      <w:pPr>
        <w:pStyle w:val="Paragraphedeliste"/>
        <w:numPr>
          <w:ilvl w:val="1"/>
          <w:numId w:val="5"/>
        </w:numPr>
        <w:jc w:val="both"/>
      </w:pPr>
      <w:r>
        <w:t>Assurer l</w:t>
      </w:r>
      <w:r w:rsidR="004F2D4C">
        <w:t>a notification (en interne et en externe) et la mise en place d’actions correctives</w:t>
      </w:r>
    </w:p>
    <w:p w14:paraId="4DD655B1" w14:textId="46CABEC2" w:rsidR="009F7F34" w:rsidRDefault="008F386F" w:rsidP="008F386F">
      <w:pPr>
        <w:pStyle w:val="Paragraphedeliste"/>
        <w:numPr>
          <w:ilvl w:val="0"/>
          <w:numId w:val="5"/>
        </w:numPr>
        <w:jc w:val="both"/>
      </w:pPr>
      <w:r>
        <w:t xml:space="preserve">Réaliser des auto-évaluations </w:t>
      </w:r>
      <w:r w:rsidR="00134AC4">
        <w:t>de la PECM</w:t>
      </w:r>
      <w:r w:rsidR="002F4D89">
        <w:t xml:space="preserve"> </w:t>
      </w:r>
      <w:r>
        <w:t>(</w:t>
      </w:r>
      <w:r w:rsidR="002F4D89">
        <w:t>fréquence à définir selon plan d’actions d’amélioration</w:t>
      </w:r>
      <w:r w:rsidR="0088260A">
        <w:t xml:space="preserve"> propre à l’établissement</w:t>
      </w:r>
      <w:r>
        <w:t>)</w:t>
      </w:r>
    </w:p>
    <w:p w14:paraId="32A25020" w14:textId="4FF319E3" w:rsidR="008F386F" w:rsidRDefault="004F2D4C" w:rsidP="008F386F">
      <w:pPr>
        <w:pStyle w:val="Paragraphedeliste"/>
        <w:numPr>
          <w:ilvl w:val="0"/>
          <w:numId w:val="5"/>
        </w:numPr>
        <w:jc w:val="both"/>
      </w:pPr>
      <w:proofErr w:type="spellStart"/>
      <w:r>
        <w:t>Ré-évaluer</w:t>
      </w:r>
      <w:proofErr w:type="spellEnd"/>
      <w:r>
        <w:t xml:space="preserve"> la dotati</w:t>
      </w:r>
      <w:r w:rsidR="00DC5420">
        <w:t xml:space="preserve">on </w:t>
      </w:r>
      <w:r w:rsidR="00CF123B" w:rsidRPr="00CF123B">
        <w:t xml:space="preserve">de médicaments pour besoins urgents ou « stock-tampon » </w:t>
      </w:r>
      <w:r w:rsidR="00DC5420">
        <w:t>et la dotation du chariot d’urgences</w:t>
      </w:r>
      <w:r w:rsidR="00CF123B">
        <w:t xml:space="preserve"> (urgences vitales)</w:t>
      </w:r>
    </w:p>
    <w:p w14:paraId="56300045" w14:textId="77777777" w:rsidR="009F7F34" w:rsidRDefault="009F7F34" w:rsidP="009F7F34">
      <w:bookmarkStart w:id="0" w:name="_GoBack"/>
      <w:bookmarkEnd w:id="0"/>
    </w:p>
    <w:p w14:paraId="0CFB1509" w14:textId="77777777" w:rsidR="00FC68DB" w:rsidRDefault="00FC68DB" w:rsidP="009F7F34"/>
    <w:sectPr w:rsidR="00FC6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CEE5E" w14:textId="77777777" w:rsidR="00FB1021" w:rsidRDefault="00FB1021" w:rsidP="003F2253">
      <w:pPr>
        <w:spacing w:after="0"/>
      </w:pPr>
      <w:r>
        <w:separator/>
      </w:r>
    </w:p>
  </w:endnote>
  <w:endnote w:type="continuationSeparator" w:id="0">
    <w:p w14:paraId="7850AAD3" w14:textId="77777777" w:rsidR="00FB1021" w:rsidRDefault="00FB1021" w:rsidP="003F22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E8E74" w14:textId="77777777" w:rsidR="00FB1021" w:rsidRDefault="00FB1021" w:rsidP="003F2253">
      <w:pPr>
        <w:spacing w:after="0"/>
      </w:pPr>
      <w:r>
        <w:separator/>
      </w:r>
    </w:p>
  </w:footnote>
  <w:footnote w:type="continuationSeparator" w:id="0">
    <w:p w14:paraId="36281CB0" w14:textId="77777777" w:rsidR="00FB1021" w:rsidRDefault="00FB1021" w:rsidP="003F22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C7B"/>
    <w:multiLevelType w:val="hybridMultilevel"/>
    <w:tmpl w:val="FF74B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B2E7D"/>
    <w:multiLevelType w:val="hybridMultilevel"/>
    <w:tmpl w:val="3EFA8A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E7140"/>
    <w:multiLevelType w:val="hybridMultilevel"/>
    <w:tmpl w:val="E08025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F69B7"/>
    <w:multiLevelType w:val="hybridMultilevel"/>
    <w:tmpl w:val="BDA62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D6D97"/>
    <w:multiLevelType w:val="hybridMultilevel"/>
    <w:tmpl w:val="FD1A8E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253"/>
    <w:rsid w:val="00082F45"/>
    <w:rsid w:val="0009433E"/>
    <w:rsid w:val="000F7212"/>
    <w:rsid w:val="00121A69"/>
    <w:rsid w:val="00134AC4"/>
    <w:rsid w:val="001C59A5"/>
    <w:rsid w:val="00225788"/>
    <w:rsid w:val="002F1B39"/>
    <w:rsid w:val="002F4D89"/>
    <w:rsid w:val="00397478"/>
    <w:rsid w:val="003B6AED"/>
    <w:rsid w:val="003F2253"/>
    <w:rsid w:val="00400D7D"/>
    <w:rsid w:val="004F2D4C"/>
    <w:rsid w:val="004F381E"/>
    <w:rsid w:val="00506B17"/>
    <w:rsid w:val="00573F42"/>
    <w:rsid w:val="00654FBA"/>
    <w:rsid w:val="008355A6"/>
    <w:rsid w:val="00856BAB"/>
    <w:rsid w:val="0088260A"/>
    <w:rsid w:val="00890CBD"/>
    <w:rsid w:val="008F386F"/>
    <w:rsid w:val="009220C0"/>
    <w:rsid w:val="00953CED"/>
    <w:rsid w:val="00975A7E"/>
    <w:rsid w:val="009F7F34"/>
    <w:rsid w:val="00AA7F46"/>
    <w:rsid w:val="00AB5F69"/>
    <w:rsid w:val="00B06B04"/>
    <w:rsid w:val="00B54114"/>
    <w:rsid w:val="00C665C6"/>
    <w:rsid w:val="00C72485"/>
    <w:rsid w:val="00C820B6"/>
    <w:rsid w:val="00CF123B"/>
    <w:rsid w:val="00CF50E2"/>
    <w:rsid w:val="00D76AFA"/>
    <w:rsid w:val="00DC5420"/>
    <w:rsid w:val="00E23995"/>
    <w:rsid w:val="00E40167"/>
    <w:rsid w:val="00F24DAF"/>
    <w:rsid w:val="00FB1021"/>
    <w:rsid w:val="00FC68DB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EFC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F34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9F7F34"/>
    <w:pPr>
      <w:keepNext/>
      <w:keepLines/>
      <w:pBdr>
        <w:bottom w:val="single" w:sz="4" w:space="1" w:color="2F5496" w:themeColor="accent5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F2253"/>
  </w:style>
  <w:style w:type="paragraph" w:styleId="Pieddepage">
    <w:name w:val="footer"/>
    <w:basedOn w:val="Normal"/>
    <w:link w:val="Pieddepag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F2253"/>
  </w:style>
  <w:style w:type="table" w:styleId="Grilledutableau">
    <w:name w:val="Table Grid"/>
    <w:basedOn w:val="TableauNormal"/>
    <w:uiPriority w:val="39"/>
    <w:rsid w:val="003F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433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F7F3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7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F7F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F34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9F7F34"/>
    <w:pPr>
      <w:keepNext/>
      <w:keepLines/>
      <w:pBdr>
        <w:bottom w:val="single" w:sz="4" w:space="1" w:color="2F5496" w:themeColor="accent5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F2253"/>
  </w:style>
  <w:style w:type="paragraph" w:styleId="Pieddepage">
    <w:name w:val="footer"/>
    <w:basedOn w:val="Normal"/>
    <w:link w:val="Pieddepag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F2253"/>
  </w:style>
  <w:style w:type="table" w:styleId="Grilledutableau">
    <w:name w:val="Table Grid"/>
    <w:basedOn w:val="TableauNormal"/>
    <w:uiPriority w:val="39"/>
    <w:rsid w:val="003F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433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F7F3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7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F7F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 Ane</dc:creator>
  <cp:lastModifiedBy>BONNEAU, Laëtitia</cp:lastModifiedBy>
  <cp:revision>4</cp:revision>
  <dcterms:created xsi:type="dcterms:W3CDTF">2017-02-24T16:11:00Z</dcterms:created>
  <dcterms:modified xsi:type="dcterms:W3CDTF">2017-04-07T09:15:00Z</dcterms:modified>
</cp:coreProperties>
</file>