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706C4" w14:textId="14C70A02" w:rsidR="007E3110" w:rsidRDefault="007E3110" w:rsidP="007E3110">
      <w:pPr>
        <w:jc w:val="center"/>
        <w:rPr>
          <w:b/>
          <w:sz w:val="24"/>
          <w:szCs w:val="24"/>
        </w:rPr>
      </w:pPr>
      <w:r w:rsidRPr="0057724A">
        <w:rPr>
          <w:b/>
          <w:sz w:val="28"/>
          <w:szCs w:val="28"/>
        </w:rPr>
        <w:t>APPEL A CANDIDATURES</w:t>
      </w:r>
    </w:p>
    <w:p w14:paraId="17EADFB9" w14:textId="77777777" w:rsidR="007E3110" w:rsidRDefault="007E3110" w:rsidP="007E3110">
      <w:pPr>
        <w:jc w:val="center"/>
        <w:rPr>
          <w:b/>
          <w:sz w:val="24"/>
          <w:szCs w:val="24"/>
        </w:rPr>
      </w:pPr>
    </w:p>
    <w:p w14:paraId="63FC04C7" w14:textId="6D5DC4F4" w:rsidR="00156AE7" w:rsidRPr="0057724A" w:rsidRDefault="00156AE7" w:rsidP="007E3110">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szCs w:val="24"/>
        </w:rPr>
      </w:pPr>
      <w:r w:rsidRPr="0057724A">
        <w:rPr>
          <w:b/>
          <w:sz w:val="24"/>
          <w:szCs w:val="24"/>
        </w:rPr>
        <w:t>Projet Régional</w:t>
      </w:r>
      <w:r w:rsidR="00632E92">
        <w:rPr>
          <w:b/>
          <w:sz w:val="24"/>
          <w:szCs w:val="24"/>
        </w:rPr>
        <w:t xml:space="preserve"> Francilien</w:t>
      </w:r>
    </w:p>
    <w:p w14:paraId="56502274" w14:textId="77777777" w:rsidR="004218C6" w:rsidRPr="0057724A" w:rsidRDefault="00156AE7" w:rsidP="007E3110">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szCs w:val="24"/>
        </w:rPr>
      </w:pPr>
      <w:r w:rsidRPr="0057724A">
        <w:rPr>
          <w:b/>
          <w:sz w:val="24"/>
          <w:szCs w:val="24"/>
        </w:rPr>
        <w:t>Améliorer la prise en charge des situations d’urgence en EHPAD</w:t>
      </w:r>
    </w:p>
    <w:p w14:paraId="5B46A603" w14:textId="77777777" w:rsidR="00156AE7" w:rsidRPr="0057724A" w:rsidRDefault="00156AE7" w:rsidP="007E3110">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szCs w:val="24"/>
        </w:rPr>
      </w:pPr>
      <w:r w:rsidRPr="0057724A">
        <w:rPr>
          <w:b/>
          <w:sz w:val="24"/>
          <w:szCs w:val="24"/>
        </w:rPr>
        <w:t>Cahier des charges</w:t>
      </w:r>
    </w:p>
    <w:p w14:paraId="405BB42E" w14:textId="77777777" w:rsidR="00156AE7" w:rsidRDefault="00156AE7" w:rsidP="00156AE7">
      <w:pPr>
        <w:rPr>
          <w:sz w:val="24"/>
          <w:szCs w:val="24"/>
        </w:rPr>
      </w:pPr>
    </w:p>
    <w:p w14:paraId="67664CE4" w14:textId="77777777" w:rsidR="00896B25" w:rsidRPr="00EF1023" w:rsidRDefault="00156AE7" w:rsidP="0057724A">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szCs w:val="24"/>
        </w:rPr>
      </w:pPr>
      <w:r w:rsidRPr="00EF1023">
        <w:rPr>
          <w:b/>
          <w:sz w:val="24"/>
          <w:szCs w:val="24"/>
        </w:rPr>
        <w:t>Contexte et enjeux</w:t>
      </w:r>
      <w:r w:rsidR="00EF1023">
        <w:rPr>
          <w:b/>
          <w:sz w:val="24"/>
          <w:szCs w:val="24"/>
        </w:rPr>
        <w:t> </w:t>
      </w:r>
    </w:p>
    <w:p w14:paraId="5AA0C694" w14:textId="4F9A3917" w:rsidR="00D921FD" w:rsidRDefault="00896B25" w:rsidP="00896B25">
      <w:pPr>
        <w:jc w:val="both"/>
        <w:rPr>
          <w:sz w:val="24"/>
          <w:szCs w:val="24"/>
        </w:rPr>
      </w:pPr>
      <w:r>
        <w:rPr>
          <w:sz w:val="24"/>
          <w:szCs w:val="24"/>
        </w:rPr>
        <w:t>La gestion des situations d’urgence est une préoccupation quotidienne pour les équipes soignantes des EHPAD et pour les structures d’urgences/SAMU-Centre 15.</w:t>
      </w:r>
      <w:r w:rsidR="00D921FD">
        <w:rPr>
          <w:sz w:val="24"/>
          <w:szCs w:val="24"/>
        </w:rPr>
        <w:t xml:space="preserve"> Le taux annuel d’hospitalisation des résidents en EHPAD est de 40%.</w:t>
      </w:r>
      <w:r>
        <w:rPr>
          <w:sz w:val="24"/>
          <w:szCs w:val="24"/>
        </w:rPr>
        <w:t xml:space="preserve"> </w:t>
      </w:r>
      <w:r w:rsidR="00D921FD">
        <w:rPr>
          <w:sz w:val="24"/>
          <w:szCs w:val="24"/>
        </w:rPr>
        <w:t>Or on estime, qu’en dehors</w:t>
      </w:r>
      <w:r>
        <w:rPr>
          <w:sz w:val="24"/>
          <w:szCs w:val="24"/>
        </w:rPr>
        <w:t xml:space="preserve"> de l’urgence vitale, le passage aux urgences d’une personne âgée peut être évitable dans 30% des cas.</w:t>
      </w:r>
      <w:r w:rsidR="00D11044">
        <w:rPr>
          <w:sz w:val="24"/>
          <w:szCs w:val="24"/>
        </w:rPr>
        <w:t xml:space="preserve"> En effet, dans 45% des cas, le résident retourne</w:t>
      </w:r>
      <w:r w:rsidR="00560080">
        <w:rPr>
          <w:sz w:val="24"/>
          <w:szCs w:val="24"/>
        </w:rPr>
        <w:t xml:space="preserve"> en EHPAD sans être hospitalisé</w:t>
      </w:r>
      <w:r w:rsidR="00560080">
        <w:rPr>
          <w:rStyle w:val="Appelnotedebasdep"/>
          <w:sz w:val="24"/>
          <w:szCs w:val="24"/>
        </w:rPr>
        <w:footnoteReference w:id="1"/>
      </w:r>
      <w:r w:rsidR="00560080">
        <w:rPr>
          <w:sz w:val="24"/>
          <w:szCs w:val="24"/>
        </w:rPr>
        <w:t>.</w:t>
      </w:r>
    </w:p>
    <w:p w14:paraId="64EF105A" w14:textId="77777777" w:rsidR="00156AE7" w:rsidRDefault="00D921FD" w:rsidP="00D921FD">
      <w:pPr>
        <w:jc w:val="both"/>
        <w:rPr>
          <w:sz w:val="24"/>
          <w:szCs w:val="24"/>
        </w:rPr>
      </w:pPr>
      <w:r>
        <w:rPr>
          <w:sz w:val="24"/>
          <w:szCs w:val="24"/>
        </w:rPr>
        <w:t>Les hospitalisations potentiellement évitables des résidents des EHPAD concernent toutes les pathologies ou syndromes gériatriques qui pourraient être évitées si les comorbidités et les syndromes gériatriques étaient pris en charge de façon optimale ou prévenus en EHPAD, en amont du transfert à l’hôpital à l’occasion d’une décompensation.</w:t>
      </w:r>
    </w:p>
    <w:p w14:paraId="42533ED0" w14:textId="77777777" w:rsidR="00D921FD" w:rsidRDefault="007D0298" w:rsidP="00D921FD">
      <w:pPr>
        <w:jc w:val="both"/>
        <w:rPr>
          <w:sz w:val="24"/>
          <w:szCs w:val="24"/>
        </w:rPr>
      </w:pPr>
      <w:r>
        <w:rPr>
          <w:sz w:val="24"/>
          <w:szCs w:val="24"/>
        </w:rPr>
        <w:t>Par ailleurs, c</w:t>
      </w:r>
      <w:r w:rsidR="00D07205">
        <w:rPr>
          <w:sz w:val="24"/>
          <w:szCs w:val="24"/>
        </w:rPr>
        <w:t>es hospitalisations potentiellement évitables</w:t>
      </w:r>
      <w:r w:rsidR="00D11044">
        <w:rPr>
          <w:sz w:val="24"/>
          <w:szCs w:val="24"/>
        </w:rPr>
        <w:t xml:space="preserve"> ont un impact négatif sur les patients âgés vulnérables ou dépendants et favorisent le déclin fonctionnel et cognitif.</w:t>
      </w:r>
    </w:p>
    <w:p w14:paraId="0E9D7D8B" w14:textId="77777777" w:rsidR="008E4007" w:rsidRDefault="008E4007" w:rsidP="00D921FD">
      <w:pPr>
        <w:jc w:val="both"/>
        <w:rPr>
          <w:sz w:val="24"/>
          <w:szCs w:val="24"/>
        </w:rPr>
      </w:pPr>
      <w:r>
        <w:rPr>
          <w:sz w:val="24"/>
          <w:szCs w:val="24"/>
        </w:rPr>
        <w:t>Leur prévention relève</w:t>
      </w:r>
      <w:r w:rsidR="009D782A">
        <w:rPr>
          <w:sz w:val="24"/>
          <w:szCs w:val="24"/>
        </w:rPr>
        <w:t xml:space="preserve"> de plusieurs stratégies complémentaires à mettre en œuvre : d’une part, avec une prise en charge optimale des maladies chroniques et des syndromes gériatriques par les médecins traitants</w:t>
      </w:r>
      <w:r w:rsidR="007D0298">
        <w:rPr>
          <w:sz w:val="24"/>
          <w:szCs w:val="24"/>
        </w:rPr>
        <w:t xml:space="preserve"> et l’équipe soignante de l’EHPAD</w:t>
      </w:r>
      <w:r w:rsidR="009D782A">
        <w:rPr>
          <w:sz w:val="24"/>
          <w:szCs w:val="24"/>
        </w:rPr>
        <w:t xml:space="preserve"> et d’autre part, avec la mise en place par chaque EHPAD de politiques de prévention des risques et d’alternatives à l’hospitalisation.</w:t>
      </w:r>
    </w:p>
    <w:p w14:paraId="4AE5F804" w14:textId="37396F15" w:rsidR="009D782A" w:rsidRDefault="009D782A" w:rsidP="00D921FD">
      <w:pPr>
        <w:jc w:val="both"/>
        <w:rPr>
          <w:sz w:val="24"/>
          <w:szCs w:val="24"/>
        </w:rPr>
      </w:pPr>
      <w:r>
        <w:rPr>
          <w:sz w:val="24"/>
          <w:szCs w:val="24"/>
        </w:rPr>
        <w:t>Parmi les solutions avancées afin de réduire les hospitalisations non programmées et les passages par les urgences évitables, il est proposé</w:t>
      </w:r>
      <w:r w:rsidR="0004644C">
        <w:rPr>
          <w:sz w:val="24"/>
          <w:szCs w:val="24"/>
        </w:rPr>
        <w:t xml:space="preserve"> d’évaluer les ressources externes mobilisables en fonction des objectifs et de développer les partenariats, de créer des relations de confiance et de formaliser les liens avec l’hôpital de secteur et son service des urgences, d’intégrer la filière gériatrique de son territoire pour mobiliser l’expertise gériatrique, </w:t>
      </w:r>
      <w:r w:rsidR="000217A0">
        <w:rPr>
          <w:sz w:val="24"/>
          <w:szCs w:val="24"/>
        </w:rPr>
        <w:t>promouvoir</w:t>
      </w:r>
      <w:r w:rsidR="00354A02">
        <w:rPr>
          <w:sz w:val="24"/>
          <w:szCs w:val="24"/>
        </w:rPr>
        <w:t xml:space="preserve"> l’organisation des projets de soins individualisés </w:t>
      </w:r>
      <w:r w:rsidR="0004644C">
        <w:rPr>
          <w:sz w:val="24"/>
          <w:szCs w:val="24"/>
        </w:rPr>
        <w:t>et enfin de renforcer les ressources soignantes des EHPAD notamment par la formation</w:t>
      </w:r>
      <w:r w:rsidR="00354A02">
        <w:rPr>
          <w:sz w:val="24"/>
          <w:szCs w:val="24"/>
        </w:rPr>
        <w:t>.</w:t>
      </w:r>
    </w:p>
    <w:p w14:paraId="736885F8" w14:textId="77777777" w:rsidR="0004644C" w:rsidRDefault="0004644C" w:rsidP="00D921FD">
      <w:pPr>
        <w:jc w:val="both"/>
        <w:rPr>
          <w:sz w:val="24"/>
          <w:szCs w:val="24"/>
        </w:rPr>
      </w:pPr>
      <w:r>
        <w:rPr>
          <w:sz w:val="24"/>
          <w:szCs w:val="24"/>
        </w:rPr>
        <w:lastRenderedPageBreak/>
        <w:t>Dans ce contexte, l’enjeu de la formation et l’augmentation des compétences des équipes soignantes des EHPAD face aux différentes situations d’urgence auxquelles elles sont confrontées s’avèrent incontournables.</w:t>
      </w:r>
    </w:p>
    <w:p w14:paraId="0BE8771B" w14:textId="77777777" w:rsidR="00D07205" w:rsidRDefault="00272947" w:rsidP="00D921FD">
      <w:pPr>
        <w:jc w:val="both"/>
        <w:rPr>
          <w:sz w:val="24"/>
          <w:szCs w:val="24"/>
        </w:rPr>
      </w:pPr>
      <w:r>
        <w:rPr>
          <w:sz w:val="24"/>
          <w:szCs w:val="24"/>
        </w:rPr>
        <w:t>Cet objectif s’inscrit</w:t>
      </w:r>
      <w:r w:rsidR="008B7FF8">
        <w:rPr>
          <w:sz w:val="24"/>
          <w:szCs w:val="24"/>
        </w:rPr>
        <w:t xml:space="preserve"> par ailleurs dans le cadre de la mesure 5 du Pacte de Refondation des Urgences qui vise à favoriser les admissions directes en hospitalisation, lorsque celle-ci est indiquée, en réduisant le plus possible le passage par les urgences.</w:t>
      </w:r>
    </w:p>
    <w:p w14:paraId="2CB42D8A" w14:textId="77777777" w:rsidR="00666594" w:rsidRDefault="00666594" w:rsidP="00D921FD">
      <w:pPr>
        <w:jc w:val="both"/>
        <w:rPr>
          <w:sz w:val="24"/>
          <w:szCs w:val="24"/>
        </w:rPr>
      </w:pPr>
    </w:p>
    <w:p w14:paraId="1743E2C6" w14:textId="77777777" w:rsidR="00272947" w:rsidRPr="00EF1023" w:rsidRDefault="00EF1023" w:rsidP="0057724A">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24"/>
          <w:szCs w:val="24"/>
        </w:rPr>
      </w:pPr>
      <w:r>
        <w:rPr>
          <w:b/>
          <w:sz w:val="24"/>
          <w:szCs w:val="24"/>
        </w:rPr>
        <w:t>Objectifs du projet </w:t>
      </w:r>
    </w:p>
    <w:p w14:paraId="225F7F07" w14:textId="1AD5D22B" w:rsidR="00666594" w:rsidRDefault="00272947" w:rsidP="00C56AC8">
      <w:pPr>
        <w:jc w:val="both"/>
        <w:rPr>
          <w:sz w:val="24"/>
          <w:szCs w:val="24"/>
        </w:rPr>
      </w:pPr>
      <w:r>
        <w:rPr>
          <w:sz w:val="24"/>
          <w:szCs w:val="24"/>
        </w:rPr>
        <w:t>Sur le modèle du dispositif ASSURE (Amélioration des Soins d’Urgences en EHPAD) conduit en Région Hauts-de-France</w:t>
      </w:r>
      <w:r w:rsidR="00C56AC8">
        <w:rPr>
          <w:sz w:val="24"/>
          <w:szCs w:val="24"/>
        </w:rPr>
        <w:t xml:space="preserve"> et piloté</w:t>
      </w:r>
      <w:r w:rsidR="005E4BC6">
        <w:rPr>
          <w:sz w:val="24"/>
          <w:szCs w:val="24"/>
        </w:rPr>
        <w:t xml:space="preserve"> </w:t>
      </w:r>
      <w:r w:rsidR="005E4BC6" w:rsidRPr="00AC45B2">
        <w:rPr>
          <w:sz w:val="24"/>
          <w:szCs w:val="24"/>
        </w:rPr>
        <w:t>conjointement par l’ARS HDF</w:t>
      </w:r>
      <w:r w:rsidR="005E4BC6">
        <w:rPr>
          <w:sz w:val="24"/>
          <w:szCs w:val="24"/>
        </w:rPr>
        <w:t xml:space="preserve"> et</w:t>
      </w:r>
      <w:r w:rsidR="00C56AC8">
        <w:rPr>
          <w:sz w:val="24"/>
          <w:szCs w:val="24"/>
        </w:rPr>
        <w:t xml:space="preserve"> le Groupement Hospitalier de Loos/Haubourdin, l’appel à candidature auprès des établissements de santé de la région Île-de-</w:t>
      </w:r>
      <w:r w:rsidR="00632E92">
        <w:rPr>
          <w:sz w:val="24"/>
          <w:szCs w:val="24"/>
        </w:rPr>
        <w:t>France</w:t>
      </w:r>
      <w:r w:rsidR="007C1F5E">
        <w:rPr>
          <w:sz w:val="24"/>
          <w:szCs w:val="24"/>
        </w:rPr>
        <w:t xml:space="preserve"> porteurs d’une filière gériatrique,</w:t>
      </w:r>
      <w:r w:rsidR="00C56AC8">
        <w:rPr>
          <w:sz w:val="24"/>
          <w:szCs w:val="24"/>
        </w:rPr>
        <w:t xml:space="preserve"> vise à déployer cette démarche</w:t>
      </w:r>
      <w:r w:rsidR="00712094">
        <w:rPr>
          <w:sz w:val="24"/>
          <w:szCs w:val="24"/>
        </w:rPr>
        <w:t xml:space="preserve"> dans la région</w:t>
      </w:r>
      <w:r w:rsidR="00C56AC8">
        <w:rPr>
          <w:sz w:val="24"/>
          <w:szCs w:val="24"/>
        </w:rPr>
        <w:t xml:space="preserve"> en l’adaptant aux spécificités franciliennes.</w:t>
      </w:r>
    </w:p>
    <w:p w14:paraId="0E26525F" w14:textId="054283E6" w:rsidR="002A5703" w:rsidRPr="002A5703" w:rsidRDefault="002A5703" w:rsidP="002A5703">
      <w:pPr>
        <w:rPr>
          <w:b/>
        </w:rPr>
      </w:pPr>
      <w:r>
        <w:rPr>
          <w:b/>
        </w:rPr>
        <w:t>L</w:t>
      </w:r>
      <w:r w:rsidRPr="002A5703">
        <w:rPr>
          <w:b/>
        </w:rPr>
        <w:t>a durée de déploiement du projet est prévue sur deux années.</w:t>
      </w:r>
    </w:p>
    <w:p w14:paraId="1E717C3D" w14:textId="77777777" w:rsidR="002A5703" w:rsidRDefault="002A5703" w:rsidP="00C56AC8">
      <w:pPr>
        <w:jc w:val="both"/>
        <w:rPr>
          <w:sz w:val="24"/>
          <w:szCs w:val="24"/>
        </w:rPr>
      </w:pPr>
    </w:p>
    <w:p w14:paraId="4498F2C1" w14:textId="77777777" w:rsidR="00CD1B48" w:rsidRPr="00A967F4" w:rsidRDefault="00CD1B48" w:rsidP="00CD1B48">
      <w:pPr>
        <w:pStyle w:val="Paragraphedeliste"/>
        <w:numPr>
          <w:ilvl w:val="0"/>
          <w:numId w:val="1"/>
        </w:numPr>
        <w:jc w:val="both"/>
        <w:rPr>
          <w:b/>
          <w:color w:val="2E74B5" w:themeColor="accent1" w:themeShade="BF"/>
          <w:sz w:val="24"/>
          <w:szCs w:val="24"/>
        </w:rPr>
      </w:pPr>
      <w:r w:rsidRPr="00A967F4">
        <w:rPr>
          <w:b/>
          <w:color w:val="2E74B5" w:themeColor="accent1" w:themeShade="BF"/>
          <w:sz w:val="24"/>
          <w:szCs w:val="24"/>
        </w:rPr>
        <w:t>Publics cibles :</w:t>
      </w:r>
    </w:p>
    <w:p w14:paraId="3AA5AD55" w14:textId="77777777" w:rsidR="0029374F" w:rsidRDefault="00CD1B48" w:rsidP="00C56AC8">
      <w:pPr>
        <w:jc w:val="both"/>
        <w:rPr>
          <w:sz w:val="24"/>
          <w:szCs w:val="24"/>
        </w:rPr>
      </w:pPr>
      <w:r>
        <w:rPr>
          <w:sz w:val="24"/>
          <w:szCs w:val="24"/>
        </w:rPr>
        <w:t>La démarche proposée</w:t>
      </w:r>
      <w:r w:rsidR="00755A4B">
        <w:rPr>
          <w:sz w:val="24"/>
          <w:szCs w:val="24"/>
        </w:rPr>
        <w:t xml:space="preserve"> repose sur un projet collaboratif afin de mobiliser l’ensemble des acteurs de la filière gériatrique et des urgentistes avec pour objectifs, d’une part de rendre le recours des EHPAD au SAMU-Centre 15</w:t>
      </w:r>
      <w:r w:rsidR="0029374F">
        <w:rPr>
          <w:sz w:val="24"/>
          <w:szCs w:val="24"/>
        </w:rPr>
        <w:t xml:space="preserve"> et aux urgences plus efficient et d’autre part, de faciliter et renforcer les coopérations entre EHPAD et filière gériatrique.</w:t>
      </w:r>
    </w:p>
    <w:p w14:paraId="00F759D8" w14:textId="17EF1ED2" w:rsidR="0029374F" w:rsidRDefault="0029374F" w:rsidP="00C56AC8">
      <w:pPr>
        <w:jc w:val="both"/>
        <w:rPr>
          <w:sz w:val="24"/>
          <w:szCs w:val="24"/>
        </w:rPr>
      </w:pPr>
      <w:r>
        <w:rPr>
          <w:sz w:val="24"/>
          <w:szCs w:val="24"/>
        </w:rPr>
        <w:t xml:space="preserve">De façon opérationnelle, le projet se matérialisera sous la forme de sessions de formation/sensibilisation aux soins d’urgences en distinguant les urgences vitales des urgences relatives, assurées par des binômes de </w:t>
      </w:r>
      <w:r w:rsidR="007C1F5E">
        <w:rPr>
          <w:sz w:val="24"/>
          <w:szCs w:val="24"/>
        </w:rPr>
        <w:t xml:space="preserve">médecins gériatres et </w:t>
      </w:r>
      <w:r w:rsidR="006B0FE7">
        <w:rPr>
          <w:sz w:val="24"/>
          <w:szCs w:val="24"/>
        </w:rPr>
        <w:t>urgentistes auprès</w:t>
      </w:r>
      <w:r w:rsidR="007C1F5E">
        <w:rPr>
          <w:sz w:val="24"/>
          <w:szCs w:val="24"/>
        </w:rPr>
        <w:t>, a minima, du</w:t>
      </w:r>
      <w:r w:rsidR="006B0FE7">
        <w:rPr>
          <w:sz w:val="24"/>
          <w:szCs w:val="24"/>
        </w:rPr>
        <w:t xml:space="preserve"> personnel d’encadrement (Directeur/Médecin coordonnateur/Infirmier coordonnateur)</w:t>
      </w:r>
      <w:r>
        <w:rPr>
          <w:sz w:val="24"/>
          <w:szCs w:val="24"/>
        </w:rPr>
        <w:t xml:space="preserve"> des EHPAD. </w:t>
      </w:r>
      <w:r w:rsidR="006B0FE7">
        <w:rPr>
          <w:sz w:val="24"/>
          <w:szCs w:val="24"/>
        </w:rPr>
        <w:t>L’encadrement de chaque EHPAD sera chargé par la suite de diffuser les connaissances aupr</w:t>
      </w:r>
      <w:r w:rsidR="00152661">
        <w:rPr>
          <w:sz w:val="24"/>
          <w:szCs w:val="24"/>
        </w:rPr>
        <w:t>ès des professionnels soignants de chaque structure.</w:t>
      </w:r>
    </w:p>
    <w:p w14:paraId="2C3E5D48" w14:textId="655A93D9" w:rsidR="00C56AC8" w:rsidRDefault="0029374F" w:rsidP="00C56AC8">
      <w:pPr>
        <w:jc w:val="both"/>
        <w:rPr>
          <w:sz w:val="24"/>
          <w:szCs w:val="24"/>
        </w:rPr>
      </w:pPr>
      <w:r>
        <w:rPr>
          <w:sz w:val="24"/>
          <w:szCs w:val="24"/>
        </w:rPr>
        <w:t>Le déploiement de ces sessions de formation</w:t>
      </w:r>
      <w:r w:rsidR="00B24E51">
        <w:rPr>
          <w:sz w:val="24"/>
          <w:szCs w:val="24"/>
        </w:rPr>
        <w:t>/sensibilisation</w:t>
      </w:r>
      <w:r>
        <w:rPr>
          <w:sz w:val="24"/>
          <w:szCs w:val="24"/>
        </w:rPr>
        <w:t xml:space="preserve"> devra</w:t>
      </w:r>
      <w:r w:rsidR="00632E92">
        <w:rPr>
          <w:sz w:val="24"/>
          <w:szCs w:val="24"/>
        </w:rPr>
        <w:t xml:space="preserve"> être décliné à l’échelle des 34</w:t>
      </w:r>
      <w:r>
        <w:rPr>
          <w:sz w:val="24"/>
          <w:szCs w:val="24"/>
        </w:rPr>
        <w:t xml:space="preserve"> filières gériatriques de la région Île-de-France en lien étroit avec les services des urgences du territoire concerné. Ce fonctionnement a pour but de faire travailler ensemble des acteurs d’un même territoire de proximité. </w:t>
      </w:r>
      <w:r w:rsidR="00755A4B">
        <w:rPr>
          <w:sz w:val="24"/>
          <w:szCs w:val="24"/>
        </w:rPr>
        <w:t xml:space="preserve"> </w:t>
      </w:r>
    </w:p>
    <w:p w14:paraId="6F8D5444" w14:textId="6177B977" w:rsidR="007E3110" w:rsidRDefault="006B0FE7" w:rsidP="00825D16">
      <w:pPr>
        <w:jc w:val="both"/>
        <w:rPr>
          <w:sz w:val="24"/>
          <w:szCs w:val="24"/>
        </w:rPr>
      </w:pPr>
      <w:r>
        <w:rPr>
          <w:sz w:val="24"/>
          <w:szCs w:val="24"/>
        </w:rPr>
        <w:t xml:space="preserve">Parallèlement, </w:t>
      </w:r>
      <w:r w:rsidR="00152661">
        <w:rPr>
          <w:sz w:val="24"/>
          <w:szCs w:val="24"/>
        </w:rPr>
        <w:t>des actions de formation/sensibilisation devront être conduites auprès</w:t>
      </w:r>
      <w:r w:rsidR="00A22D02">
        <w:rPr>
          <w:sz w:val="24"/>
          <w:szCs w:val="24"/>
        </w:rPr>
        <w:t xml:space="preserve"> d’une part</w:t>
      </w:r>
      <w:r w:rsidR="00152661">
        <w:rPr>
          <w:sz w:val="24"/>
          <w:szCs w:val="24"/>
        </w:rPr>
        <w:t xml:space="preserve"> des SAMU-Centre 15 (Assistants de régulation médicale/médecins régulateurs)</w:t>
      </w:r>
      <w:r w:rsidR="00A22D02">
        <w:rPr>
          <w:sz w:val="24"/>
          <w:szCs w:val="24"/>
        </w:rPr>
        <w:t xml:space="preserve"> afin de renforcer les capacités de communication entre les EHPAD</w:t>
      </w:r>
      <w:r w:rsidR="006804D9">
        <w:rPr>
          <w:sz w:val="24"/>
          <w:szCs w:val="24"/>
        </w:rPr>
        <w:t xml:space="preserve"> et les services d’urgence</w:t>
      </w:r>
      <w:r w:rsidR="00A22D02">
        <w:rPr>
          <w:sz w:val="24"/>
          <w:szCs w:val="24"/>
        </w:rPr>
        <w:t xml:space="preserve"> et d’autre part</w:t>
      </w:r>
      <w:r w:rsidR="006804D9">
        <w:rPr>
          <w:sz w:val="24"/>
          <w:szCs w:val="24"/>
        </w:rPr>
        <w:t xml:space="preserve"> auprès </w:t>
      </w:r>
      <w:r w:rsidR="00152661">
        <w:rPr>
          <w:sz w:val="24"/>
          <w:szCs w:val="24"/>
        </w:rPr>
        <w:t xml:space="preserve">des instituts de formation en soins infirmiers et d’aides-soignants (cadres de formation) afin de diffuser </w:t>
      </w:r>
      <w:r w:rsidR="006804D9">
        <w:rPr>
          <w:sz w:val="24"/>
          <w:szCs w:val="24"/>
        </w:rPr>
        <w:t xml:space="preserve">ses bonnes pratiques dans le cadre des différents modules de formation </w:t>
      </w:r>
      <w:r w:rsidR="00C6096D">
        <w:rPr>
          <w:sz w:val="24"/>
          <w:szCs w:val="24"/>
        </w:rPr>
        <w:t>des élèves.</w:t>
      </w:r>
    </w:p>
    <w:p w14:paraId="4912FA2C" w14:textId="0394F5E0" w:rsidR="007E3110" w:rsidRDefault="007E3110">
      <w:pPr>
        <w:rPr>
          <w:sz w:val="24"/>
          <w:szCs w:val="24"/>
        </w:rPr>
      </w:pPr>
    </w:p>
    <w:tbl>
      <w:tblPr>
        <w:tblStyle w:val="Grilledutableau"/>
        <w:tblW w:w="0" w:type="auto"/>
        <w:tblLook w:val="04A0" w:firstRow="1" w:lastRow="0" w:firstColumn="1" w:lastColumn="0" w:noHBand="0" w:noVBand="1"/>
      </w:tblPr>
      <w:tblGrid>
        <w:gridCol w:w="9062"/>
      </w:tblGrid>
      <w:tr w:rsidR="00825D16" w14:paraId="2CCB868B" w14:textId="77777777" w:rsidTr="00825D16">
        <w:tc>
          <w:tcPr>
            <w:tcW w:w="9062" w:type="dxa"/>
          </w:tcPr>
          <w:p w14:paraId="1BE6BA7D" w14:textId="77777777" w:rsidR="00825D16" w:rsidRDefault="00825D16" w:rsidP="00825D16">
            <w:pPr>
              <w:jc w:val="both"/>
              <w:rPr>
                <w:b/>
                <w:sz w:val="24"/>
                <w:szCs w:val="24"/>
              </w:rPr>
            </w:pPr>
            <w:r w:rsidRPr="00BC3769">
              <w:rPr>
                <w:b/>
                <w:sz w:val="24"/>
                <w:szCs w:val="24"/>
              </w:rPr>
              <w:t>Nombre de structures concernées :</w:t>
            </w:r>
          </w:p>
          <w:p w14:paraId="7D8D205A" w14:textId="77777777" w:rsidR="00825D16" w:rsidRPr="00825D16" w:rsidRDefault="00825D16" w:rsidP="00825D16">
            <w:pPr>
              <w:jc w:val="both"/>
              <w:rPr>
                <w:sz w:val="24"/>
                <w:szCs w:val="24"/>
              </w:rPr>
            </w:pPr>
          </w:p>
          <w:p w14:paraId="2A1F1FD2" w14:textId="77777777" w:rsidR="00825D16" w:rsidRDefault="00825D16" w:rsidP="00825D16">
            <w:pPr>
              <w:jc w:val="both"/>
              <w:rPr>
                <w:sz w:val="24"/>
                <w:szCs w:val="24"/>
              </w:rPr>
            </w:pPr>
            <w:r w:rsidRPr="00BC3769">
              <w:rPr>
                <w:sz w:val="24"/>
                <w:szCs w:val="24"/>
              </w:rPr>
              <w:t xml:space="preserve">La région Île-de-France comprend : </w:t>
            </w:r>
          </w:p>
          <w:p w14:paraId="07149056" w14:textId="77777777" w:rsidR="00825D16" w:rsidRPr="00BC3769" w:rsidRDefault="00825D16" w:rsidP="00825D16">
            <w:pPr>
              <w:jc w:val="both"/>
              <w:rPr>
                <w:sz w:val="24"/>
                <w:szCs w:val="24"/>
              </w:rPr>
            </w:pPr>
          </w:p>
          <w:p w14:paraId="3AF1ECF0" w14:textId="77777777" w:rsidR="00825D16" w:rsidRDefault="00825D16" w:rsidP="00825D16">
            <w:pPr>
              <w:pStyle w:val="Paragraphedeliste"/>
              <w:numPr>
                <w:ilvl w:val="0"/>
                <w:numId w:val="2"/>
              </w:numPr>
              <w:jc w:val="both"/>
              <w:rPr>
                <w:sz w:val="24"/>
                <w:szCs w:val="24"/>
              </w:rPr>
            </w:pPr>
            <w:r>
              <w:rPr>
                <w:sz w:val="24"/>
                <w:szCs w:val="24"/>
              </w:rPr>
              <w:t>700 EHPAD</w:t>
            </w:r>
          </w:p>
          <w:p w14:paraId="6E1B87C7" w14:textId="77777777" w:rsidR="00825D16" w:rsidRDefault="00825D16" w:rsidP="00825D16">
            <w:pPr>
              <w:pStyle w:val="Paragraphedeliste"/>
              <w:numPr>
                <w:ilvl w:val="0"/>
                <w:numId w:val="2"/>
              </w:numPr>
              <w:jc w:val="both"/>
              <w:rPr>
                <w:sz w:val="24"/>
                <w:szCs w:val="24"/>
              </w:rPr>
            </w:pPr>
            <w:r>
              <w:rPr>
                <w:sz w:val="24"/>
                <w:szCs w:val="24"/>
              </w:rPr>
              <w:t>145 instituts de formation dont 64 en soins infirmiers et 81 d’aides-soignants</w:t>
            </w:r>
          </w:p>
          <w:p w14:paraId="3134E045" w14:textId="77777777" w:rsidR="00825D16" w:rsidRDefault="00825D16" w:rsidP="00825D16">
            <w:pPr>
              <w:pStyle w:val="Paragraphedeliste"/>
              <w:numPr>
                <w:ilvl w:val="0"/>
                <w:numId w:val="2"/>
              </w:numPr>
              <w:jc w:val="both"/>
              <w:rPr>
                <w:sz w:val="24"/>
                <w:szCs w:val="24"/>
              </w:rPr>
            </w:pPr>
            <w:r>
              <w:rPr>
                <w:sz w:val="24"/>
                <w:szCs w:val="24"/>
              </w:rPr>
              <w:t>8 SAMU-Centre 15 et 90 services d’accueil des urgences</w:t>
            </w:r>
          </w:p>
          <w:p w14:paraId="548C7E06" w14:textId="77777777" w:rsidR="00825D16" w:rsidRDefault="00825D16" w:rsidP="00825D16"/>
        </w:tc>
      </w:tr>
    </w:tbl>
    <w:p w14:paraId="16F55E96" w14:textId="77777777" w:rsidR="00825D16" w:rsidRDefault="00825D16" w:rsidP="00825D16"/>
    <w:p w14:paraId="5E3A5D08" w14:textId="45BD30F5" w:rsidR="00BE4048" w:rsidRDefault="00BE4048" w:rsidP="00825D16">
      <w:r>
        <w:t xml:space="preserve">Le déploiement des sessions </w:t>
      </w:r>
      <w:r w:rsidR="00846B8C">
        <w:t>de formation pourra être organisé</w:t>
      </w:r>
      <w:r w:rsidR="00632E92">
        <w:t xml:space="preserve"> par regroupement de structures, par exemple de 4 à 5 structures.</w:t>
      </w:r>
    </w:p>
    <w:p w14:paraId="000FF31F" w14:textId="6C67B406" w:rsidR="00846B8C" w:rsidRDefault="00846B8C" w:rsidP="00825D16">
      <w:r>
        <w:t>Les modalités opérationnelles seront définies dans le cadre du lancement du projet.</w:t>
      </w:r>
    </w:p>
    <w:p w14:paraId="7EEE9F5C" w14:textId="77777777" w:rsidR="00BE4048" w:rsidRDefault="00BE4048" w:rsidP="00825D16"/>
    <w:p w14:paraId="33F9799D" w14:textId="77777777" w:rsidR="00825D16" w:rsidRPr="00A967F4" w:rsidRDefault="00825D16" w:rsidP="00825D16">
      <w:pPr>
        <w:pStyle w:val="Paragraphedeliste"/>
        <w:numPr>
          <w:ilvl w:val="0"/>
          <w:numId w:val="1"/>
        </w:numPr>
        <w:rPr>
          <w:b/>
          <w:color w:val="2E74B5" w:themeColor="accent1" w:themeShade="BF"/>
          <w:sz w:val="24"/>
          <w:szCs w:val="24"/>
        </w:rPr>
      </w:pPr>
      <w:r w:rsidRPr="00A967F4">
        <w:rPr>
          <w:b/>
          <w:color w:val="2E74B5" w:themeColor="accent1" w:themeShade="BF"/>
          <w:sz w:val="24"/>
          <w:szCs w:val="24"/>
        </w:rPr>
        <w:t>Outils à disposition</w:t>
      </w:r>
    </w:p>
    <w:p w14:paraId="04BB4026" w14:textId="77777777" w:rsidR="00E762EC" w:rsidRDefault="00825D16" w:rsidP="00825D16">
      <w:pPr>
        <w:jc w:val="both"/>
      </w:pPr>
      <w:r>
        <w:t>Pour animer les sessions de formation/sensibilisation, les binômes disposeront d’un kit d’outils comprenant notamment</w:t>
      </w:r>
      <w:r w:rsidR="00E762EC">
        <w:t> :</w:t>
      </w:r>
    </w:p>
    <w:p w14:paraId="1E98A98E" w14:textId="77777777" w:rsidR="00825D16" w:rsidRDefault="00E762EC" w:rsidP="00E762EC">
      <w:pPr>
        <w:pStyle w:val="Paragraphedeliste"/>
        <w:numPr>
          <w:ilvl w:val="0"/>
          <w:numId w:val="2"/>
        </w:numPr>
        <w:jc w:val="both"/>
      </w:pPr>
      <w:r>
        <w:t>Des</w:t>
      </w:r>
      <w:r w:rsidR="00825D16">
        <w:t xml:space="preserve"> informations sur le fonctionnement des urgences</w:t>
      </w:r>
      <w:r>
        <w:t xml:space="preserve"> et les modalités de gestion d’une situation urgente</w:t>
      </w:r>
    </w:p>
    <w:p w14:paraId="61AD6574" w14:textId="77777777" w:rsidR="00E762EC" w:rsidRDefault="00E762EC" w:rsidP="00E762EC">
      <w:pPr>
        <w:pStyle w:val="Paragraphedeliste"/>
        <w:numPr>
          <w:ilvl w:val="0"/>
          <w:numId w:val="2"/>
        </w:numPr>
        <w:jc w:val="both"/>
      </w:pPr>
      <w:r>
        <w:t>Des fiches de conduites à tenir en fonction des situations d’urgence</w:t>
      </w:r>
    </w:p>
    <w:p w14:paraId="541A0E2C" w14:textId="77777777" w:rsidR="00E762EC" w:rsidRDefault="00E762EC" w:rsidP="00E762EC">
      <w:pPr>
        <w:pStyle w:val="Paragraphedeliste"/>
        <w:numPr>
          <w:ilvl w:val="0"/>
          <w:numId w:val="2"/>
        </w:numPr>
        <w:jc w:val="both"/>
      </w:pPr>
      <w:r>
        <w:t>Le repérage des signes de gravité</w:t>
      </w:r>
    </w:p>
    <w:p w14:paraId="069E9191" w14:textId="712E95CF" w:rsidR="00E762EC" w:rsidRDefault="00E762EC" w:rsidP="00E762EC">
      <w:pPr>
        <w:pStyle w:val="Paragraphedeliste"/>
        <w:numPr>
          <w:ilvl w:val="0"/>
          <w:numId w:val="2"/>
        </w:numPr>
        <w:jc w:val="both"/>
      </w:pPr>
      <w:r>
        <w:t>Des outils de liaison et d’alerte permettant d’optimiser la communication d’information entre l’EHPAD et la régulation médicale SAMU-Centre 15</w:t>
      </w:r>
      <w:r w:rsidR="00846B8C">
        <w:t xml:space="preserve"> et le cas échéant les services d’urgence</w:t>
      </w:r>
      <w:r>
        <w:t xml:space="preserve"> (</w:t>
      </w:r>
      <w:r w:rsidR="006D5F7C">
        <w:t xml:space="preserve">Dossier de Liaison d’Urgence comprenant le volet de </w:t>
      </w:r>
      <w:r w:rsidR="000217A0">
        <w:t>synthèse</w:t>
      </w:r>
      <w:r w:rsidR="006D5F7C">
        <w:t xml:space="preserve"> </w:t>
      </w:r>
      <w:r w:rsidR="000217A0">
        <w:t>médicale/</w:t>
      </w:r>
      <w:r w:rsidR="00DD1981">
        <w:t>Fiche de Liaison Urgente/Fiche PALLIA/</w:t>
      </w:r>
      <w:r w:rsidR="005D41A5">
        <w:t xml:space="preserve">l’existence de </w:t>
      </w:r>
      <w:r w:rsidR="00DD1981">
        <w:t>Directives anticipées…)</w:t>
      </w:r>
    </w:p>
    <w:p w14:paraId="0C432A84" w14:textId="0B135C06" w:rsidR="00364C8B" w:rsidRDefault="005D41A5" w:rsidP="00E762EC">
      <w:pPr>
        <w:pStyle w:val="Paragraphedeliste"/>
        <w:numPr>
          <w:ilvl w:val="0"/>
          <w:numId w:val="2"/>
        </w:numPr>
        <w:jc w:val="both"/>
      </w:pPr>
      <w:r>
        <w:t>Une g</w:t>
      </w:r>
      <w:r w:rsidR="00364C8B">
        <w:t>rille de retour d’expérience suite à l’hospitalisation d’un résident</w:t>
      </w:r>
    </w:p>
    <w:p w14:paraId="07C2BE55" w14:textId="77777777" w:rsidR="008471A0" w:rsidRDefault="008471A0" w:rsidP="008471A0">
      <w:pPr>
        <w:jc w:val="both"/>
      </w:pPr>
      <w:r>
        <w:t>Des outils complémentaires sous forme de grilles, posters et jeu de cartes sont également disponibles.</w:t>
      </w:r>
    </w:p>
    <w:p w14:paraId="550C7514" w14:textId="5098374A" w:rsidR="00825D16" w:rsidRDefault="008471A0" w:rsidP="00364C8B">
      <w:pPr>
        <w:spacing w:line="240" w:lineRule="auto"/>
        <w:jc w:val="both"/>
      </w:pPr>
      <w:r>
        <w:t>Ces outils ont été élaborés notamment à l’échelle de la région Île-de-France dans le cadre d’un travail collaboratif entre l’ARS IDF</w:t>
      </w:r>
      <w:r w:rsidR="005D41A5">
        <w:t xml:space="preserve">, l’association régionale des médecins coordonnateurs </w:t>
      </w:r>
      <w:r w:rsidR="000217A0">
        <w:t>et</w:t>
      </w:r>
      <w:r>
        <w:t xml:space="preserve"> la Société de Gériatrie et de Gérontologie d’Île-de-France et sont librement accessibles. </w:t>
      </w:r>
    </w:p>
    <w:p w14:paraId="59F474ED" w14:textId="59B4FBC6" w:rsidR="00AC1D32" w:rsidRDefault="008471A0" w:rsidP="00364C8B">
      <w:pPr>
        <w:spacing w:line="240" w:lineRule="auto"/>
        <w:jc w:val="both"/>
        <w:rPr>
          <w:sz w:val="24"/>
          <w:szCs w:val="24"/>
        </w:rPr>
      </w:pPr>
      <w:r>
        <w:t xml:space="preserve">Ils ont fait également l’objet d’un travail </w:t>
      </w:r>
      <w:r w:rsidR="00AC1D32">
        <w:t xml:space="preserve">approfondi dans le cadre de la démarche ASSURE des Hauts-de-France. Leur utilisation protégée devra faire l’objet d’une convention de partage </w:t>
      </w:r>
      <w:r w:rsidR="003A4BF9">
        <w:t xml:space="preserve">avec </w:t>
      </w:r>
      <w:r w:rsidR="00AC1D32">
        <w:t xml:space="preserve">le </w:t>
      </w:r>
      <w:r w:rsidR="00AC1D32">
        <w:rPr>
          <w:sz w:val="24"/>
          <w:szCs w:val="24"/>
        </w:rPr>
        <w:t>Groupement Hospitalier de Loos/Haubourdin, porteur du projet.</w:t>
      </w:r>
    </w:p>
    <w:p w14:paraId="1236A12F" w14:textId="2F80DD09" w:rsidR="007E3110" w:rsidRDefault="007E3110">
      <w:pPr>
        <w:rPr>
          <w:sz w:val="24"/>
          <w:szCs w:val="24"/>
        </w:rPr>
      </w:pPr>
      <w:r>
        <w:rPr>
          <w:sz w:val="24"/>
          <w:szCs w:val="24"/>
        </w:rPr>
        <w:br w:type="page"/>
      </w:r>
    </w:p>
    <w:p w14:paraId="54D24FEE" w14:textId="77777777" w:rsidR="00AC1D32" w:rsidRPr="00EF1023" w:rsidRDefault="00AC1D32" w:rsidP="0057724A">
      <w:pPr>
        <w:pBdr>
          <w:top w:val="single" w:sz="4" w:space="1" w:color="auto"/>
          <w:left w:val="single" w:sz="4" w:space="4" w:color="auto"/>
          <w:bottom w:val="single" w:sz="4" w:space="1" w:color="auto"/>
          <w:right w:val="single" w:sz="4" w:space="4" w:color="auto"/>
        </w:pBdr>
        <w:shd w:val="clear" w:color="auto" w:fill="BDD6EE" w:themeFill="accent1" w:themeFillTint="66"/>
        <w:spacing w:line="240" w:lineRule="auto"/>
        <w:jc w:val="center"/>
        <w:rPr>
          <w:b/>
          <w:sz w:val="24"/>
          <w:szCs w:val="24"/>
        </w:rPr>
      </w:pPr>
      <w:r w:rsidRPr="00EF1023">
        <w:rPr>
          <w:b/>
          <w:sz w:val="24"/>
          <w:szCs w:val="24"/>
        </w:rPr>
        <w:lastRenderedPageBreak/>
        <w:t>Gouvernance du projet</w:t>
      </w:r>
    </w:p>
    <w:p w14:paraId="23513EB8" w14:textId="77777777" w:rsidR="00364C8B" w:rsidRPr="006165A7" w:rsidRDefault="00364C8B" w:rsidP="00364C8B">
      <w:pPr>
        <w:spacing w:line="240" w:lineRule="auto"/>
        <w:jc w:val="both"/>
      </w:pPr>
      <w:r w:rsidRPr="006165A7">
        <w:t>La gouvernance du projet reposera sur :</w:t>
      </w:r>
    </w:p>
    <w:p w14:paraId="7EDFE9D6" w14:textId="77777777" w:rsidR="00364C8B" w:rsidRPr="006165A7" w:rsidRDefault="00364C8B" w:rsidP="00364C8B">
      <w:pPr>
        <w:pStyle w:val="Paragraphedeliste"/>
        <w:numPr>
          <w:ilvl w:val="0"/>
          <w:numId w:val="2"/>
        </w:numPr>
        <w:spacing w:line="240" w:lineRule="auto"/>
        <w:jc w:val="both"/>
      </w:pPr>
      <w:r w:rsidRPr="006165A7">
        <w:t>Un comité de pilotage institutionnel</w:t>
      </w:r>
    </w:p>
    <w:p w14:paraId="6F1AC481" w14:textId="5F3EEAE3" w:rsidR="00364C8B" w:rsidRDefault="00D119FA" w:rsidP="00364C8B">
      <w:pPr>
        <w:pStyle w:val="Paragraphedeliste"/>
        <w:numPr>
          <w:ilvl w:val="0"/>
          <w:numId w:val="2"/>
        </w:numPr>
        <w:spacing w:line="240" w:lineRule="auto"/>
        <w:jc w:val="both"/>
      </w:pPr>
      <w:r w:rsidRPr="006165A7">
        <w:t xml:space="preserve">Une équipe projet </w:t>
      </w:r>
    </w:p>
    <w:p w14:paraId="0BC5E03C" w14:textId="24A903CE" w:rsidR="00454A8E" w:rsidRPr="00921555" w:rsidRDefault="00454A8E" w:rsidP="006165A7">
      <w:pPr>
        <w:spacing w:line="240" w:lineRule="auto"/>
        <w:jc w:val="both"/>
      </w:pPr>
      <w:r w:rsidRPr="00921555">
        <w:t>L’établissement porteur du projet sera chargé de la supe</w:t>
      </w:r>
      <w:r w:rsidR="000D68AE" w:rsidRPr="00921555">
        <w:t>rvisio</w:t>
      </w:r>
      <w:r w:rsidR="0010666F" w:rsidRPr="00921555">
        <w:t xml:space="preserve">n générale de la démarche en lien étroit avec l’ARS d’Île-de-France. L’ARS </w:t>
      </w:r>
      <w:r w:rsidR="00810514" w:rsidRPr="00921555">
        <w:t xml:space="preserve">accompagnera le porteur du projet et l’équipe projet dans les différentes phases de déploiement de celui-ci, notamment en terme de communication et de présentation de la démarche auprès des établissements porteurs des 34 filières gériatriques de la région. </w:t>
      </w:r>
    </w:p>
    <w:p w14:paraId="70F17C2D" w14:textId="77777777" w:rsidR="00D119FA" w:rsidRPr="00921555" w:rsidRDefault="00D119FA" w:rsidP="00D119FA">
      <w:pPr>
        <w:pStyle w:val="Paragraphedeliste"/>
        <w:spacing w:line="240" w:lineRule="auto"/>
        <w:jc w:val="both"/>
      </w:pPr>
    </w:p>
    <w:p w14:paraId="7B35B92A" w14:textId="77777777" w:rsidR="00D119FA" w:rsidRPr="00921555" w:rsidRDefault="00D119FA" w:rsidP="00D119FA">
      <w:pPr>
        <w:pStyle w:val="Paragraphedeliste"/>
        <w:numPr>
          <w:ilvl w:val="0"/>
          <w:numId w:val="1"/>
        </w:numPr>
        <w:spacing w:line="240" w:lineRule="auto"/>
        <w:jc w:val="both"/>
        <w:rPr>
          <w:b/>
          <w:color w:val="2E74B5" w:themeColor="accent1" w:themeShade="BF"/>
          <w:sz w:val="24"/>
          <w:szCs w:val="24"/>
        </w:rPr>
      </w:pPr>
      <w:r w:rsidRPr="00921555">
        <w:rPr>
          <w:b/>
          <w:color w:val="2E74B5" w:themeColor="accent1" w:themeShade="BF"/>
          <w:sz w:val="24"/>
          <w:szCs w:val="24"/>
        </w:rPr>
        <w:t>Le comité de pilotage :</w:t>
      </w:r>
    </w:p>
    <w:p w14:paraId="570D72F9" w14:textId="1A214A94" w:rsidR="00364C8B" w:rsidRPr="006165A7" w:rsidRDefault="00D119FA" w:rsidP="00AC1D32">
      <w:pPr>
        <w:jc w:val="both"/>
      </w:pPr>
      <w:r w:rsidRPr="00921555">
        <w:t>Il sera animé</w:t>
      </w:r>
      <w:r w:rsidR="000D68AE" w:rsidRPr="00921555">
        <w:t xml:space="preserve"> conjointement par l’ARS IDF et</w:t>
      </w:r>
      <w:r w:rsidRPr="00921555">
        <w:t xml:space="preserve"> le porteur du projet et sera composé notamment des acteurs suivants :</w:t>
      </w:r>
    </w:p>
    <w:p w14:paraId="3A0097E5" w14:textId="7ECA9F7B" w:rsidR="00D119FA" w:rsidRPr="006165A7" w:rsidRDefault="00D119FA" w:rsidP="00D119FA">
      <w:pPr>
        <w:pStyle w:val="Paragraphedeliste"/>
        <w:numPr>
          <w:ilvl w:val="0"/>
          <w:numId w:val="2"/>
        </w:numPr>
        <w:jc w:val="both"/>
      </w:pPr>
      <w:r w:rsidRPr="006165A7">
        <w:t>Experts médicaux (</w:t>
      </w:r>
      <w:r w:rsidR="000179AB">
        <w:t>chef de pôle/service d’Accueil des U</w:t>
      </w:r>
      <w:r w:rsidR="005A0E3F" w:rsidRPr="006165A7">
        <w:t>rgences, chef de pôle/service de Gérontologie)</w:t>
      </w:r>
    </w:p>
    <w:p w14:paraId="5A04965F" w14:textId="77777777" w:rsidR="00632E92" w:rsidRDefault="005A0E3F" w:rsidP="00632E92">
      <w:pPr>
        <w:pStyle w:val="Paragraphedeliste"/>
        <w:numPr>
          <w:ilvl w:val="0"/>
          <w:numId w:val="2"/>
        </w:numPr>
        <w:jc w:val="both"/>
      </w:pPr>
      <w:r w:rsidRPr="006165A7">
        <w:t>Fédérations : FHF, FEHAP, FHP,</w:t>
      </w:r>
      <w:r w:rsidR="003F266B" w:rsidRPr="006165A7">
        <w:t xml:space="preserve"> AP-HP,</w:t>
      </w:r>
      <w:r w:rsidRPr="006165A7">
        <w:t xml:space="preserve"> Synerpa</w:t>
      </w:r>
      <w:r w:rsidR="00632E92">
        <w:t>, URIOPSS</w:t>
      </w:r>
    </w:p>
    <w:p w14:paraId="756F2860" w14:textId="3E5C728C" w:rsidR="00632E92" w:rsidRPr="006165A7" w:rsidRDefault="00632E92" w:rsidP="00632E92">
      <w:pPr>
        <w:pStyle w:val="Paragraphedeliste"/>
        <w:numPr>
          <w:ilvl w:val="0"/>
          <w:numId w:val="2"/>
        </w:numPr>
        <w:jc w:val="both"/>
      </w:pPr>
      <w:r w:rsidRPr="006165A7">
        <w:t>Association</w:t>
      </w:r>
      <w:r>
        <w:t>s</w:t>
      </w:r>
      <w:r w:rsidRPr="006165A7">
        <w:t xml:space="preserve"> des directeurs d’EHPAD</w:t>
      </w:r>
    </w:p>
    <w:p w14:paraId="54FE8AD1" w14:textId="4641395B" w:rsidR="005A0E3F" w:rsidRPr="006165A7" w:rsidRDefault="005A0E3F" w:rsidP="00D119FA">
      <w:pPr>
        <w:pStyle w:val="Paragraphedeliste"/>
        <w:numPr>
          <w:ilvl w:val="0"/>
          <w:numId w:val="2"/>
        </w:numPr>
        <w:jc w:val="both"/>
      </w:pPr>
      <w:r w:rsidRPr="00454A8E">
        <w:t>Société de Gériatrie et de Gérontologie d’Île-de-France/Société de médecine d’urgence d’Île-de-</w:t>
      </w:r>
      <w:r w:rsidR="007E3110" w:rsidRPr="00454A8E">
        <w:t>France</w:t>
      </w:r>
    </w:p>
    <w:p w14:paraId="696896F1" w14:textId="55533DE7" w:rsidR="007E3110" w:rsidRPr="00454A8E" w:rsidRDefault="007E3110" w:rsidP="00D119FA">
      <w:pPr>
        <w:pStyle w:val="Paragraphedeliste"/>
        <w:numPr>
          <w:ilvl w:val="0"/>
          <w:numId w:val="2"/>
        </w:numPr>
        <w:jc w:val="both"/>
      </w:pPr>
      <w:r w:rsidRPr="00454A8E">
        <w:rPr>
          <w:rFonts w:cs="Arial"/>
        </w:rPr>
        <w:t>Association nationale des médecins coordonnateurs et du secteur médico-social « MCOOR »</w:t>
      </w:r>
    </w:p>
    <w:p w14:paraId="44205675" w14:textId="77777777" w:rsidR="005A0E3F" w:rsidRPr="006165A7" w:rsidRDefault="005A0E3F" w:rsidP="00D119FA">
      <w:pPr>
        <w:pStyle w:val="Paragraphedeliste"/>
        <w:numPr>
          <w:ilvl w:val="0"/>
          <w:numId w:val="2"/>
        </w:numPr>
        <w:jc w:val="both"/>
      </w:pPr>
      <w:r w:rsidRPr="00454A8E">
        <w:t>Représentants des SAMU-Centre 15</w:t>
      </w:r>
    </w:p>
    <w:p w14:paraId="27A19AE0" w14:textId="77777777" w:rsidR="005A0E3F" w:rsidRPr="006165A7" w:rsidRDefault="005A0E3F" w:rsidP="00D119FA">
      <w:pPr>
        <w:pStyle w:val="Paragraphedeliste"/>
        <w:numPr>
          <w:ilvl w:val="0"/>
          <w:numId w:val="2"/>
        </w:numPr>
        <w:jc w:val="both"/>
      </w:pPr>
      <w:r w:rsidRPr="00454A8E">
        <w:t>Représentants de l’Observatoire des Urgences et Soins Non Programmés</w:t>
      </w:r>
    </w:p>
    <w:p w14:paraId="395F3E85" w14:textId="77777777" w:rsidR="003F266B" w:rsidRPr="006165A7" w:rsidRDefault="003F266B" w:rsidP="00D119FA">
      <w:pPr>
        <w:pStyle w:val="Paragraphedeliste"/>
        <w:numPr>
          <w:ilvl w:val="0"/>
          <w:numId w:val="2"/>
        </w:numPr>
        <w:jc w:val="both"/>
      </w:pPr>
      <w:r w:rsidRPr="006165A7">
        <w:t xml:space="preserve">Directeur des soins/Cadre de santé </w:t>
      </w:r>
    </w:p>
    <w:p w14:paraId="6E64F24D" w14:textId="77777777" w:rsidR="003F266B" w:rsidRPr="00A967F4" w:rsidRDefault="003F266B" w:rsidP="00EF1023">
      <w:pPr>
        <w:jc w:val="both"/>
        <w:rPr>
          <w:b/>
          <w:color w:val="2E74B5" w:themeColor="accent1" w:themeShade="BF"/>
          <w:sz w:val="24"/>
          <w:szCs w:val="24"/>
        </w:rPr>
      </w:pPr>
      <w:r w:rsidRPr="00A967F4">
        <w:rPr>
          <w:b/>
          <w:color w:val="2E74B5" w:themeColor="accent1" w:themeShade="BF"/>
          <w:sz w:val="24"/>
          <w:szCs w:val="24"/>
        </w:rPr>
        <w:t>Rôle et missions</w:t>
      </w:r>
      <w:r w:rsidR="00EF1023" w:rsidRPr="00A967F4">
        <w:rPr>
          <w:b/>
          <w:color w:val="2E74B5" w:themeColor="accent1" w:themeShade="BF"/>
          <w:sz w:val="24"/>
          <w:szCs w:val="24"/>
        </w:rPr>
        <w:t> :</w:t>
      </w:r>
    </w:p>
    <w:p w14:paraId="57352D3D" w14:textId="77777777" w:rsidR="005A3912" w:rsidRPr="005A3912" w:rsidRDefault="005A3912" w:rsidP="005A3912">
      <w:pPr>
        <w:pStyle w:val="Paragraphedeliste"/>
        <w:numPr>
          <w:ilvl w:val="0"/>
          <w:numId w:val="2"/>
        </w:numPr>
        <w:jc w:val="both"/>
        <w:rPr>
          <w:b/>
        </w:rPr>
      </w:pPr>
      <w:r w:rsidRPr="005A3912">
        <w:rPr>
          <w:rFonts w:eastAsia="Times New Roman"/>
        </w:rPr>
        <w:t>Définition des orientations stratégiques du déploiement de la démarche</w:t>
      </w:r>
    </w:p>
    <w:p w14:paraId="2E155487" w14:textId="77777777" w:rsidR="008673E1" w:rsidRPr="008673E1" w:rsidRDefault="005A3912" w:rsidP="005A3912">
      <w:pPr>
        <w:pStyle w:val="Paragraphedeliste"/>
        <w:numPr>
          <w:ilvl w:val="0"/>
          <w:numId w:val="2"/>
        </w:numPr>
        <w:jc w:val="both"/>
        <w:rPr>
          <w:b/>
        </w:rPr>
      </w:pPr>
      <w:r w:rsidRPr="005A3912">
        <w:rPr>
          <w:rFonts w:eastAsia="Times New Roman"/>
        </w:rPr>
        <w:t>Définition des modalités pratiques de promotion de la démarche auprès des acteurs/structures bénéficiaires</w:t>
      </w:r>
    </w:p>
    <w:p w14:paraId="035890F2" w14:textId="77777777" w:rsidR="005A3912" w:rsidRPr="005A3912" w:rsidRDefault="008673E1" w:rsidP="005A3912">
      <w:pPr>
        <w:pStyle w:val="Paragraphedeliste"/>
        <w:numPr>
          <w:ilvl w:val="0"/>
          <w:numId w:val="2"/>
        </w:numPr>
        <w:jc w:val="both"/>
        <w:rPr>
          <w:b/>
        </w:rPr>
      </w:pPr>
      <w:r>
        <w:rPr>
          <w:rFonts w:eastAsia="Times New Roman"/>
        </w:rPr>
        <w:t>Elaboration et suivi budgétaire</w:t>
      </w:r>
      <w:r w:rsidR="005A3912" w:rsidRPr="005A3912">
        <w:rPr>
          <w:rFonts w:eastAsia="Times New Roman"/>
        </w:rPr>
        <w:t> </w:t>
      </w:r>
    </w:p>
    <w:p w14:paraId="77BD357B" w14:textId="77777777" w:rsidR="005A3912" w:rsidRPr="005A3912" w:rsidRDefault="005A3912" w:rsidP="005A3912">
      <w:pPr>
        <w:pStyle w:val="Paragraphedeliste"/>
        <w:numPr>
          <w:ilvl w:val="0"/>
          <w:numId w:val="2"/>
        </w:numPr>
        <w:jc w:val="both"/>
        <w:rPr>
          <w:b/>
        </w:rPr>
      </w:pPr>
      <w:r w:rsidRPr="005A3912">
        <w:rPr>
          <w:rFonts w:eastAsia="Times New Roman"/>
        </w:rPr>
        <w:t>Définition des modalités d'évaluation du dispositif </w:t>
      </w:r>
    </w:p>
    <w:p w14:paraId="30B997E9" w14:textId="7B9EAFEF" w:rsidR="005A3912" w:rsidRPr="001D37FE" w:rsidRDefault="005A3912" w:rsidP="005A3912">
      <w:pPr>
        <w:pStyle w:val="Paragraphedeliste"/>
        <w:numPr>
          <w:ilvl w:val="0"/>
          <w:numId w:val="2"/>
        </w:numPr>
        <w:jc w:val="both"/>
        <w:rPr>
          <w:b/>
        </w:rPr>
      </w:pPr>
      <w:r>
        <w:rPr>
          <w:rFonts w:eastAsia="Times New Roman"/>
        </w:rPr>
        <w:t>Dispositif de communication</w:t>
      </w:r>
    </w:p>
    <w:p w14:paraId="11D05E8F" w14:textId="77777777" w:rsidR="001D37FE" w:rsidRPr="005A3912" w:rsidRDefault="001D37FE" w:rsidP="001D37FE">
      <w:pPr>
        <w:pStyle w:val="Paragraphedeliste"/>
        <w:jc w:val="both"/>
        <w:rPr>
          <w:b/>
        </w:rPr>
      </w:pPr>
    </w:p>
    <w:p w14:paraId="7B891AFC" w14:textId="77777777" w:rsidR="00454A8E" w:rsidRDefault="005A3912" w:rsidP="005A3912">
      <w:pPr>
        <w:pStyle w:val="Paragraphedeliste"/>
        <w:numPr>
          <w:ilvl w:val="0"/>
          <w:numId w:val="1"/>
        </w:numPr>
        <w:jc w:val="both"/>
        <w:rPr>
          <w:b/>
          <w:color w:val="2E74B5" w:themeColor="accent1" w:themeShade="BF"/>
          <w:sz w:val="24"/>
          <w:szCs w:val="24"/>
        </w:rPr>
      </w:pPr>
      <w:r w:rsidRPr="00A967F4">
        <w:rPr>
          <w:b/>
          <w:color w:val="2E74B5" w:themeColor="accent1" w:themeShade="BF"/>
          <w:sz w:val="24"/>
          <w:szCs w:val="24"/>
        </w:rPr>
        <w:t>L’équipe projet</w:t>
      </w:r>
    </w:p>
    <w:p w14:paraId="7FD5BFF6" w14:textId="7A391936" w:rsidR="005A3912" w:rsidRPr="00A967F4" w:rsidRDefault="005A3912" w:rsidP="006165A7">
      <w:pPr>
        <w:pStyle w:val="Paragraphedeliste"/>
        <w:jc w:val="both"/>
        <w:rPr>
          <w:b/>
          <w:color w:val="2E74B5" w:themeColor="accent1" w:themeShade="BF"/>
          <w:sz w:val="24"/>
          <w:szCs w:val="24"/>
        </w:rPr>
      </w:pPr>
      <w:r w:rsidRPr="00A967F4">
        <w:rPr>
          <w:b/>
          <w:color w:val="2E74B5" w:themeColor="accent1" w:themeShade="BF"/>
          <w:sz w:val="24"/>
          <w:szCs w:val="24"/>
        </w:rPr>
        <w:t xml:space="preserve"> </w:t>
      </w:r>
    </w:p>
    <w:p w14:paraId="0DD05639" w14:textId="77777777" w:rsidR="005A3912" w:rsidRDefault="005A3912" w:rsidP="00EF1023">
      <w:pPr>
        <w:spacing w:line="240" w:lineRule="auto"/>
        <w:jc w:val="both"/>
        <w:rPr>
          <w:rFonts w:eastAsia="Times New Roman"/>
        </w:rPr>
      </w:pPr>
      <w:r>
        <w:rPr>
          <w:rFonts w:eastAsia="Times New Roman"/>
        </w:rPr>
        <w:t xml:space="preserve">Celle-ci sera constitué d’un chef de projet et de trois chargés de mission </w:t>
      </w:r>
      <w:r w:rsidR="003E1AD6">
        <w:rPr>
          <w:rFonts w:eastAsia="Times New Roman"/>
        </w:rPr>
        <w:t xml:space="preserve">et d’une secrétaire </w:t>
      </w:r>
      <w:r>
        <w:rPr>
          <w:rFonts w:eastAsia="Times New Roman"/>
        </w:rPr>
        <w:t>afin de garantir le déploiement de la démarche sur l’ensemble de la région Île-de-France.</w:t>
      </w:r>
      <w:r w:rsidR="003E1AD6">
        <w:rPr>
          <w:rFonts w:eastAsia="Times New Roman"/>
        </w:rPr>
        <w:t xml:space="preserve"> </w:t>
      </w:r>
    </w:p>
    <w:p w14:paraId="0C889357" w14:textId="77777777" w:rsidR="00EF1023" w:rsidRDefault="00EF1023" w:rsidP="00EF1023">
      <w:pPr>
        <w:spacing w:line="240" w:lineRule="auto"/>
        <w:jc w:val="both"/>
        <w:rPr>
          <w:rFonts w:eastAsia="Times New Roman"/>
        </w:rPr>
      </w:pPr>
      <w:r>
        <w:rPr>
          <w:rFonts w:eastAsia="Times New Roman"/>
        </w:rPr>
        <w:t>Elle sera chargée d’élaborer plusieurs outils de gestion de projet afin d’assurer le pilotage, le déploiement et le suivi de la démarche.</w:t>
      </w:r>
    </w:p>
    <w:p w14:paraId="40B8610A" w14:textId="77777777" w:rsidR="00454A8E" w:rsidRDefault="00454A8E">
      <w:pPr>
        <w:rPr>
          <w:b/>
          <w:color w:val="2E74B5" w:themeColor="accent1" w:themeShade="BF"/>
          <w:sz w:val="24"/>
          <w:szCs w:val="24"/>
        </w:rPr>
      </w:pPr>
      <w:r>
        <w:rPr>
          <w:b/>
          <w:color w:val="2E74B5" w:themeColor="accent1" w:themeShade="BF"/>
          <w:sz w:val="24"/>
          <w:szCs w:val="24"/>
        </w:rPr>
        <w:br w:type="page"/>
      </w:r>
    </w:p>
    <w:p w14:paraId="6E8920C8" w14:textId="1F3B4AFC" w:rsidR="00EF1023" w:rsidRPr="00A967F4" w:rsidRDefault="00EF1023" w:rsidP="00EF1023">
      <w:pPr>
        <w:spacing w:line="240" w:lineRule="auto"/>
        <w:jc w:val="both"/>
        <w:rPr>
          <w:b/>
          <w:color w:val="2E74B5" w:themeColor="accent1" w:themeShade="BF"/>
          <w:sz w:val="24"/>
          <w:szCs w:val="24"/>
        </w:rPr>
      </w:pPr>
      <w:r w:rsidRPr="00A967F4">
        <w:rPr>
          <w:b/>
          <w:color w:val="2E74B5" w:themeColor="accent1" w:themeShade="BF"/>
          <w:sz w:val="24"/>
          <w:szCs w:val="24"/>
        </w:rPr>
        <w:lastRenderedPageBreak/>
        <w:t>Rôle et missions :</w:t>
      </w:r>
    </w:p>
    <w:p w14:paraId="1DBB90FE" w14:textId="04A0F7F7" w:rsidR="00EF1023" w:rsidRPr="00EF1023" w:rsidRDefault="00EF1023" w:rsidP="00EF1023">
      <w:pPr>
        <w:pStyle w:val="Paragraphedeliste"/>
        <w:numPr>
          <w:ilvl w:val="0"/>
          <w:numId w:val="2"/>
        </w:numPr>
        <w:spacing w:line="240" w:lineRule="auto"/>
        <w:jc w:val="both"/>
        <w:rPr>
          <w:b/>
          <w:sz w:val="24"/>
          <w:szCs w:val="24"/>
        </w:rPr>
      </w:pPr>
      <w:r w:rsidRPr="00EF1023">
        <w:rPr>
          <w:rFonts w:eastAsia="Times New Roman"/>
        </w:rPr>
        <w:t>Présentat</w:t>
      </w:r>
      <w:r w:rsidR="00632E92">
        <w:rPr>
          <w:rFonts w:eastAsia="Times New Roman"/>
        </w:rPr>
        <w:t>ion</w:t>
      </w:r>
      <w:r w:rsidR="00A43338">
        <w:rPr>
          <w:rFonts w:eastAsia="Times New Roman"/>
        </w:rPr>
        <w:t xml:space="preserve">, </w:t>
      </w:r>
      <w:r w:rsidR="00A43338" w:rsidRPr="00921555">
        <w:rPr>
          <w:rFonts w:eastAsia="Times New Roman"/>
        </w:rPr>
        <w:t>conjointement avec l’ARS Ile-de-France,</w:t>
      </w:r>
      <w:r w:rsidR="00632E92" w:rsidRPr="00921555">
        <w:rPr>
          <w:rFonts w:eastAsia="Times New Roman"/>
        </w:rPr>
        <w:t xml:space="preserve"> de</w:t>
      </w:r>
      <w:r w:rsidR="00632E92">
        <w:rPr>
          <w:rFonts w:eastAsia="Times New Roman"/>
        </w:rPr>
        <w:t xml:space="preserve"> la démarche auprès des 34</w:t>
      </w:r>
      <w:r w:rsidRPr="00EF1023">
        <w:rPr>
          <w:rFonts w:eastAsia="Times New Roman"/>
        </w:rPr>
        <w:t xml:space="preserve"> établissements supports de filières gériatriques et disposant d'un SAU</w:t>
      </w:r>
    </w:p>
    <w:p w14:paraId="6AAFC316" w14:textId="77777777" w:rsidR="009A6F1E" w:rsidRPr="006165A7" w:rsidRDefault="00EF1023" w:rsidP="009A6F1E">
      <w:pPr>
        <w:pStyle w:val="Paragraphedeliste"/>
        <w:numPr>
          <w:ilvl w:val="0"/>
          <w:numId w:val="2"/>
        </w:numPr>
        <w:spacing w:line="240" w:lineRule="auto"/>
        <w:jc w:val="both"/>
        <w:rPr>
          <w:b/>
          <w:sz w:val="24"/>
          <w:szCs w:val="24"/>
        </w:rPr>
      </w:pPr>
      <w:r w:rsidRPr="00EF1023">
        <w:rPr>
          <w:rFonts w:eastAsia="Times New Roman"/>
        </w:rPr>
        <w:t xml:space="preserve">Présentation de la démarche </w:t>
      </w:r>
      <w:r w:rsidR="00C66ACF">
        <w:rPr>
          <w:rFonts w:eastAsia="Times New Roman"/>
        </w:rPr>
        <w:t>auprès des directions d'EHPAD, des</w:t>
      </w:r>
      <w:r w:rsidRPr="00EF1023">
        <w:rPr>
          <w:rFonts w:eastAsia="Times New Roman"/>
        </w:rPr>
        <w:t xml:space="preserve"> Instituts de formation et des SAMU-centre 15</w:t>
      </w:r>
      <w:r w:rsidR="009A6F1E" w:rsidRPr="009A6F1E">
        <w:rPr>
          <w:rFonts w:eastAsia="Times New Roman"/>
        </w:rPr>
        <w:t xml:space="preserve"> </w:t>
      </w:r>
    </w:p>
    <w:p w14:paraId="059B949A" w14:textId="0DAF18C6" w:rsidR="009A6F1E" w:rsidRPr="00EF1023" w:rsidRDefault="009A6F1E" w:rsidP="009A6F1E">
      <w:pPr>
        <w:pStyle w:val="Paragraphedeliste"/>
        <w:numPr>
          <w:ilvl w:val="0"/>
          <w:numId w:val="2"/>
        </w:numPr>
        <w:spacing w:line="240" w:lineRule="auto"/>
        <w:jc w:val="both"/>
        <w:rPr>
          <w:b/>
          <w:sz w:val="24"/>
          <w:szCs w:val="24"/>
        </w:rPr>
      </w:pPr>
      <w:r w:rsidRPr="00EF1023">
        <w:rPr>
          <w:rFonts w:eastAsia="Times New Roman"/>
        </w:rPr>
        <w:t>Recrutements des binômes médecins formateurs</w:t>
      </w:r>
      <w:r w:rsidR="00C66F25">
        <w:rPr>
          <w:rFonts w:eastAsia="Times New Roman"/>
        </w:rPr>
        <w:t xml:space="preserve"> et organisation de sessions visant à l’appropriation des outils de formation/sensibilisation à la prise en charge des urgences</w:t>
      </w:r>
    </w:p>
    <w:p w14:paraId="4B424ED4" w14:textId="6C2EAA74" w:rsidR="00EF1023" w:rsidRPr="006165A7" w:rsidRDefault="00EF1023" w:rsidP="00EF1023">
      <w:pPr>
        <w:pStyle w:val="Paragraphedeliste"/>
        <w:numPr>
          <w:ilvl w:val="0"/>
          <w:numId w:val="2"/>
        </w:numPr>
        <w:spacing w:line="240" w:lineRule="auto"/>
        <w:jc w:val="both"/>
        <w:rPr>
          <w:b/>
          <w:sz w:val="24"/>
          <w:szCs w:val="24"/>
        </w:rPr>
      </w:pPr>
      <w:r w:rsidRPr="00EF1023">
        <w:rPr>
          <w:rFonts w:eastAsia="Times New Roman"/>
        </w:rPr>
        <w:t>Programmation et organisation des sessions de formation par regroupement de structures </w:t>
      </w:r>
    </w:p>
    <w:p w14:paraId="49D70663" w14:textId="77777777" w:rsidR="00EF1023" w:rsidRPr="00EF1023" w:rsidRDefault="00EF1023" w:rsidP="00EF1023">
      <w:pPr>
        <w:pStyle w:val="Paragraphedeliste"/>
        <w:numPr>
          <w:ilvl w:val="0"/>
          <w:numId w:val="2"/>
        </w:numPr>
        <w:spacing w:line="240" w:lineRule="auto"/>
        <w:jc w:val="both"/>
        <w:rPr>
          <w:b/>
          <w:sz w:val="24"/>
          <w:szCs w:val="24"/>
        </w:rPr>
      </w:pPr>
      <w:r w:rsidRPr="00EF1023">
        <w:rPr>
          <w:rFonts w:eastAsia="Times New Roman"/>
        </w:rPr>
        <w:t>Gestion des ressources documentaires (kits de formation/posters) et leur dématérialisation </w:t>
      </w:r>
    </w:p>
    <w:p w14:paraId="4522463D" w14:textId="77777777" w:rsidR="00EF1023" w:rsidRPr="00EF1023" w:rsidRDefault="00EF1023" w:rsidP="00EF1023">
      <w:pPr>
        <w:pStyle w:val="Paragraphedeliste"/>
        <w:numPr>
          <w:ilvl w:val="0"/>
          <w:numId w:val="2"/>
        </w:numPr>
        <w:spacing w:line="240" w:lineRule="auto"/>
        <w:jc w:val="both"/>
        <w:rPr>
          <w:b/>
          <w:sz w:val="24"/>
          <w:szCs w:val="24"/>
        </w:rPr>
      </w:pPr>
      <w:r w:rsidRPr="00EF1023">
        <w:rPr>
          <w:rFonts w:eastAsia="Times New Roman"/>
        </w:rPr>
        <w:t>Analyse de retours d'expériences à différentes échéances </w:t>
      </w:r>
    </w:p>
    <w:p w14:paraId="4EED6B53" w14:textId="77777777" w:rsidR="005A3912" w:rsidRDefault="005A3912" w:rsidP="00EF1023">
      <w:pPr>
        <w:spacing w:line="240" w:lineRule="auto"/>
        <w:jc w:val="both"/>
        <w:rPr>
          <w:b/>
        </w:rPr>
      </w:pPr>
    </w:p>
    <w:p w14:paraId="053B2ED7" w14:textId="77777777" w:rsidR="008942D2" w:rsidRDefault="008942D2" w:rsidP="0057724A">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rPr>
      </w:pPr>
      <w:r>
        <w:rPr>
          <w:b/>
        </w:rPr>
        <w:t>Moyens financiers</w:t>
      </w:r>
    </w:p>
    <w:p w14:paraId="4A809FDC" w14:textId="42E11585" w:rsidR="008942D2" w:rsidRDefault="008942D2" w:rsidP="008942D2"/>
    <w:p w14:paraId="500379CA" w14:textId="364D9C94" w:rsidR="007C1F5E" w:rsidRDefault="007C1F5E" w:rsidP="008942D2">
      <w:pPr>
        <w:rPr>
          <w:b/>
        </w:rPr>
      </w:pPr>
      <w:r w:rsidRPr="007C1F5E">
        <w:rPr>
          <w:b/>
        </w:rPr>
        <w:t>Les moyens financiers alloués au projet portent sur une durée de déploiement du projet sur deux années.</w:t>
      </w:r>
    </w:p>
    <w:p w14:paraId="5A7CB687" w14:textId="77777777" w:rsidR="007C1F5E" w:rsidRPr="007C1F5E" w:rsidRDefault="007C1F5E" w:rsidP="008942D2">
      <w:pPr>
        <w:rPr>
          <w:b/>
        </w:rPr>
      </w:pPr>
    </w:p>
    <w:tbl>
      <w:tblPr>
        <w:tblStyle w:val="Grilledutableau"/>
        <w:tblW w:w="0" w:type="auto"/>
        <w:tblLook w:val="04A0" w:firstRow="1" w:lastRow="0" w:firstColumn="1" w:lastColumn="0" w:noHBand="0" w:noVBand="1"/>
      </w:tblPr>
      <w:tblGrid>
        <w:gridCol w:w="4531"/>
        <w:gridCol w:w="4531"/>
      </w:tblGrid>
      <w:tr w:rsidR="008942D2" w14:paraId="26E096D9" w14:textId="77777777" w:rsidTr="008942D2">
        <w:tc>
          <w:tcPr>
            <w:tcW w:w="4531" w:type="dxa"/>
          </w:tcPr>
          <w:p w14:paraId="438185C6" w14:textId="77777777" w:rsidR="008942D2" w:rsidRPr="00C66ACF" w:rsidRDefault="008942D2" w:rsidP="008942D2">
            <w:pPr>
              <w:rPr>
                <w:b/>
              </w:rPr>
            </w:pPr>
            <w:r w:rsidRPr="00C66ACF">
              <w:rPr>
                <w:b/>
              </w:rPr>
              <w:t xml:space="preserve">Postes de dépenses </w:t>
            </w:r>
          </w:p>
        </w:tc>
        <w:tc>
          <w:tcPr>
            <w:tcW w:w="4531" w:type="dxa"/>
          </w:tcPr>
          <w:p w14:paraId="5AF5E860" w14:textId="177F37E1" w:rsidR="008942D2" w:rsidRPr="00C66ACF" w:rsidRDefault="008942D2" w:rsidP="008942D2">
            <w:pPr>
              <w:rPr>
                <w:b/>
              </w:rPr>
            </w:pPr>
            <w:r w:rsidRPr="00C66ACF">
              <w:rPr>
                <w:b/>
              </w:rPr>
              <w:t>Montants</w:t>
            </w:r>
            <w:r w:rsidR="007C1F5E">
              <w:rPr>
                <w:b/>
              </w:rPr>
              <w:t xml:space="preserve"> </w:t>
            </w:r>
          </w:p>
        </w:tc>
      </w:tr>
      <w:tr w:rsidR="008942D2" w14:paraId="15379C3F" w14:textId="77777777" w:rsidTr="008942D2">
        <w:tc>
          <w:tcPr>
            <w:tcW w:w="4531" w:type="dxa"/>
          </w:tcPr>
          <w:p w14:paraId="1107D2DC" w14:textId="77777777" w:rsidR="008942D2" w:rsidRDefault="008942D2" w:rsidP="008942D2">
            <w:r>
              <w:t xml:space="preserve">Equipe projet </w:t>
            </w:r>
          </w:p>
        </w:tc>
        <w:tc>
          <w:tcPr>
            <w:tcW w:w="4531" w:type="dxa"/>
          </w:tcPr>
          <w:p w14:paraId="7430F518" w14:textId="100F2A6B" w:rsidR="008942D2" w:rsidRDefault="00EB6039" w:rsidP="008942D2">
            <w:r>
              <w:t>580</w:t>
            </w:r>
            <w:r w:rsidR="00C66ACF">
              <w:t> 000 €</w:t>
            </w:r>
            <w:r w:rsidR="007C1F5E">
              <w:t xml:space="preserve"> </w:t>
            </w:r>
          </w:p>
        </w:tc>
      </w:tr>
      <w:tr w:rsidR="008942D2" w14:paraId="60D22746" w14:textId="77777777" w:rsidTr="008942D2">
        <w:tc>
          <w:tcPr>
            <w:tcW w:w="4531" w:type="dxa"/>
          </w:tcPr>
          <w:p w14:paraId="1171E08D" w14:textId="77777777" w:rsidR="008942D2" w:rsidRDefault="00C66ACF" w:rsidP="008942D2">
            <w:r>
              <w:t>Rémunération forfaitaire des médecins formateurs</w:t>
            </w:r>
          </w:p>
        </w:tc>
        <w:tc>
          <w:tcPr>
            <w:tcW w:w="4531" w:type="dxa"/>
          </w:tcPr>
          <w:p w14:paraId="58C03585" w14:textId="5640EE5A" w:rsidR="008942D2" w:rsidRDefault="00EB6039" w:rsidP="008942D2">
            <w:r>
              <w:t>447</w:t>
            </w:r>
            <w:r w:rsidR="00C66ACF">
              <w:t> 000 €</w:t>
            </w:r>
          </w:p>
        </w:tc>
      </w:tr>
      <w:tr w:rsidR="008942D2" w14:paraId="6B3C9AF7" w14:textId="77777777" w:rsidTr="008942D2">
        <w:tc>
          <w:tcPr>
            <w:tcW w:w="4531" w:type="dxa"/>
          </w:tcPr>
          <w:p w14:paraId="7939A136" w14:textId="77777777" w:rsidR="008942D2" w:rsidRDefault="00C66ACF" w:rsidP="008942D2">
            <w:r>
              <w:t>Frais de fonctionnement</w:t>
            </w:r>
          </w:p>
        </w:tc>
        <w:tc>
          <w:tcPr>
            <w:tcW w:w="4531" w:type="dxa"/>
          </w:tcPr>
          <w:p w14:paraId="32EA8D54" w14:textId="31068471" w:rsidR="008942D2" w:rsidRDefault="00EB6039" w:rsidP="00182807">
            <w:pPr>
              <w:tabs>
                <w:tab w:val="center" w:pos="2157"/>
              </w:tabs>
            </w:pPr>
            <w:r>
              <w:t>250</w:t>
            </w:r>
            <w:r w:rsidR="00C66ACF">
              <w:t> 000 €</w:t>
            </w:r>
            <w:r w:rsidR="007C1F5E">
              <w:t xml:space="preserve"> </w:t>
            </w:r>
          </w:p>
        </w:tc>
      </w:tr>
      <w:tr w:rsidR="00C66ACF" w14:paraId="33763B30" w14:textId="77777777" w:rsidTr="008942D2">
        <w:tc>
          <w:tcPr>
            <w:tcW w:w="4531" w:type="dxa"/>
          </w:tcPr>
          <w:p w14:paraId="0F11F290" w14:textId="77777777" w:rsidR="00C66ACF" w:rsidRPr="00C66ACF" w:rsidRDefault="00C66ACF" w:rsidP="008942D2">
            <w:pPr>
              <w:rPr>
                <w:b/>
              </w:rPr>
            </w:pPr>
            <w:r w:rsidRPr="00C66ACF">
              <w:rPr>
                <w:b/>
              </w:rPr>
              <w:t>Total</w:t>
            </w:r>
          </w:p>
        </w:tc>
        <w:tc>
          <w:tcPr>
            <w:tcW w:w="4531" w:type="dxa"/>
          </w:tcPr>
          <w:p w14:paraId="3E934977" w14:textId="1C1E3E51" w:rsidR="00C66ACF" w:rsidRPr="00C66ACF" w:rsidRDefault="00EB6039" w:rsidP="008942D2">
            <w:pPr>
              <w:rPr>
                <w:b/>
              </w:rPr>
            </w:pPr>
            <w:r>
              <w:rPr>
                <w:b/>
              </w:rPr>
              <w:t xml:space="preserve">1 277 000 </w:t>
            </w:r>
            <w:r w:rsidR="00C66ACF" w:rsidRPr="00C66ACF">
              <w:rPr>
                <w:b/>
              </w:rPr>
              <w:t>€</w:t>
            </w:r>
          </w:p>
        </w:tc>
      </w:tr>
    </w:tbl>
    <w:p w14:paraId="2D0686B3" w14:textId="77777777" w:rsidR="001D37FE" w:rsidRDefault="001D37FE"/>
    <w:p w14:paraId="5441295E" w14:textId="77777777" w:rsidR="00182807" w:rsidRDefault="00F82E59">
      <w:r>
        <w:t xml:space="preserve">La décomposition précise des coûts du projet fera l’objet d’une évaluation avec le porteur du projet. </w:t>
      </w:r>
    </w:p>
    <w:p w14:paraId="6411DE6E" w14:textId="77777777" w:rsidR="00182807" w:rsidRDefault="00182807"/>
    <w:p w14:paraId="6364034C" w14:textId="6B547E16" w:rsidR="001D37FE" w:rsidRDefault="001D37FE">
      <w:r>
        <w:br w:type="page"/>
      </w:r>
    </w:p>
    <w:p w14:paraId="59C97BEC" w14:textId="1B5D296A" w:rsidR="00F82E59" w:rsidRDefault="00267CD1" w:rsidP="0057724A">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rPr>
      </w:pPr>
      <w:r w:rsidRPr="00267CD1">
        <w:rPr>
          <w:b/>
        </w:rPr>
        <w:lastRenderedPageBreak/>
        <w:t>Modalités de candidature</w:t>
      </w:r>
    </w:p>
    <w:p w14:paraId="1269D1CB" w14:textId="07AFD539" w:rsidR="00EF1023" w:rsidRDefault="00EF1023" w:rsidP="00F82E59"/>
    <w:p w14:paraId="7F939883" w14:textId="09AA662E" w:rsidR="00F82E59" w:rsidRDefault="00A967F4" w:rsidP="00A967F4">
      <w:pPr>
        <w:jc w:val="both"/>
      </w:pPr>
      <w:r>
        <w:t>Le présent appel à candidature s’adresse aux établissements de santé porteurs d’une filière gériatrique.</w:t>
      </w:r>
    </w:p>
    <w:p w14:paraId="691EA459" w14:textId="26994F04" w:rsidR="00A967F4" w:rsidRDefault="00F55D18" w:rsidP="00A967F4">
      <w:pPr>
        <w:jc w:val="both"/>
      </w:pPr>
      <w:r>
        <w:t xml:space="preserve">Les établissements candidats </w:t>
      </w:r>
      <w:r w:rsidR="00960DC0">
        <w:t>devront communiquer une note synthétique présentant :</w:t>
      </w:r>
    </w:p>
    <w:p w14:paraId="6279120F" w14:textId="293F0FC5" w:rsidR="00960DC0" w:rsidRDefault="00960DC0" w:rsidP="00960DC0">
      <w:pPr>
        <w:pStyle w:val="Paragraphedeliste"/>
        <w:numPr>
          <w:ilvl w:val="0"/>
          <w:numId w:val="2"/>
        </w:numPr>
        <w:jc w:val="both"/>
      </w:pPr>
      <w:r>
        <w:t>Sa compréhension des enjeux de la démarche proposée</w:t>
      </w:r>
      <w:r w:rsidR="00454A8E">
        <w:t xml:space="preserve"> et des objectifs à atteindre</w:t>
      </w:r>
    </w:p>
    <w:p w14:paraId="11941484" w14:textId="6BCC3DC2" w:rsidR="00960DC0" w:rsidRDefault="00960DC0" w:rsidP="00960DC0">
      <w:pPr>
        <w:pStyle w:val="Paragraphedeliste"/>
        <w:numPr>
          <w:ilvl w:val="0"/>
          <w:numId w:val="2"/>
        </w:numPr>
        <w:jc w:val="both"/>
      </w:pPr>
      <w:r>
        <w:t>Ses motivations à être porteur d’un projet à vocation régional</w:t>
      </w:r>
      <w:r w:rsidR="002A5703">
        <w:t>e</w:t>
      </w:r>
    </w:p>
    <w:p w14:paraId="2F9B621D" w14:textId="4BBFA3B0" w:rsidR="00960DC0" w:rsidRDefault="00960DC0" w:rsidP="00960DC0">
      <w:pPr>
        <w:pStyle w:val="Paragraphedeliste"/>
        <w:numPr>
          <w:ilvl w:val="0"/>
          <w:numId w:val="2"/>
        </w:numPr>
        <w:jc w:val="both"/>
      </w:pPr>
      <w:r>
        <w:t>Les grands axes de la stratégie de déploiement du projet et son calendrier</w:t>
      </w:r>
    </w:p>
    <w:p w14:paraId="5314A971" w14:textId="308A0434" w:rsidR="00960DC0" w:rsidRDefault="00D24B39" w:rsidP="00960DC0">
      <w:pPr>
        <w:jc w:val="both"/>
      </w:pPr>
      <w:r>
        <w:t xml:space="preserve">Ils devront également fournir </w:t>
      </w:r>
      <w:r w:rsidR="002A5703">
        <w:t>les fiches de poste de l’équipe projet (chef de projet et chargé de mission).</w:t>
      </w:r>
    </w:p>
    <w:p w14:paraId="4DB0835C" w14:textId="50868DA4" w:rsidR="00A967F4" w:rsidRDefault="00A967F4" w:rsidP="00A967F4">
      <w:pPr>
        <w:jc w:val="both"/>
      </w:pPr>
    </w:p>
    <w:p w14:paraId="54F4B0D5" w14:textId="460ADCB2" w:rsidR="00A967F4" w:rsidRDefault="00A967F4" w:rsidP="00A967F4">
      <w:pPr>
        <w:jc w:val="both"/>
      </w:pPr>
    </w:p>
    <w:tbl>
      <w:tblPr>
        <w:tblStyle w:val="Grilledutableau"/>
        <w:tblW w:w="0" w:type="auto"/>
        <w:tblLook w:val="04A0" w:firstRow="1" w:lastRow="0" w:firstColumn="1" w:lastColumn="0" w:noHBand="0" w:noVBand="1"/>
      </w:tblPr>
      <w:tblGrid>
        <w:gridCol w:w="1977"/>
        <w:gridCol w:w="7065"/>
      </w:tblGrid>
      <w:tr w:rsidR="00A967F4" w14:paraId="51655B89" w14:textId="77777777" w:rsidTr="000312EE">
        <w:tc>
          <w:tcPr>
            <w:tcW w:w="1980" w:type="dxa"/>
            <w:tcBorders>
              <w:top w:val="single" w:sz="12" w:space="0" w:color="auto"/>
              <w:left w:val="single" w:sz="12" w:space="0" w:color="auto"/>
              <w:bottom w:val="double" w:sz="4" w:space="0" w:color="A5A5A5" w:themeColor="accent3"/>
            </w:tcBorders>
            <w:shd w:val="clear" w:color="auto" w:fill="C5E0B3" w:themeFill="accent6" w:themeFillTint="66"/>
            <w:vAlign w:val="center"/>
          </w:tcPr>
          <w:p w14:paraId="2148BE6B" w14:textId="1007D0A5" w:rsidR="00A967F4" w:rsidRPr="002A7454" w:rsidRDefault="004F3916" w:rsidP="000312EE">
            <w:pPr>
              <w:autoSpaceDE w:val="0"/>
              <w:autoSpaceDN w:val="0"/>
              <w:adjustRightInd w:val="0"/>
              <w:jc w:val="center"/>
              <w:rPr>
                <w:rFonts w:ascii="Calibri" w:hAnsi="Calibri" w:cs="Calibri"/>
                <w:b/>
                <w:color w:val="000000"/>
              </w:rPr>
            </w:pPr>
            <w:r>
              <w:rPr>
                <w:rFonts w:ascii="Calibri" w:hAnsi="Calibri" w:cs="Calibri"/>
                <w:b/>
                <w:color w:val="000000"/>
              </w:rPr>
              <w:t>4</w:t>
            </w:r>
            <w:bookmarkStart w:id="0" w:name="_GoBack"/>
            <w:bookmarkEnd w:id="0"/>
            <w:r w:rsidR="00A967F4">
              <w:rPr>
                <w:rFonts w:ascii="Calibri" w:hAnsi="Calibri" w:cs="Calibri"/>
                <w:b/>
                <w:color w:val="000000"/>
              </w:rPr>
              <w:t xml:space="preserve"> novembre</w:t>
            </w:r>
            <w:r w:rsidR="00A967F4" w:rsidRPr="002A7454">
              <w:rPr>
                <w:rFonts w:ascii="Calibri" w:hAnsi="Calibri" w:cs="Calibri"/>
                <w:b/>
                <w:color w:val="000000"/>
              </w:rPr>
              <w:t xml:space="preserve"> 2021</w:t>
            </w:r>
          </w:p>
        </w:tc>
        <w:tc>
          <w:tcPr>
            <w:tcW w:w="7082" w:type="dxa"/>
            <w:tcBorders>
              <w:top w:val="single" w:sz="12" w:space="0" w:color="auto"/>
              <w:bottom w:val="double" w:sz="4" w:space="0" w:color="A5A5A5" w:themeColor="accent3"/>
              <w:right w:val="single" w:sz="12" w:space="0" w:color="auto"/>
            </w:tcBorders>
            <w:shd w:val="clear" w:color="auto" w:fill="C5E0B3" w:themeFill="accent6" w:themeFillTint="66"/>
          </w:tcPr>
          <w:p w14:paraId="7EBDC617" w14:textId="71C5B0A5" w:rsidR="00A967F4" w:rsidRDefault="00C41FC5" w:rsidP="000312EE">
            <w:pPr>
              <w:autoSpaceDE w:val="0"/>
              <w:autoSpaceDN w:val="0"/>
              <w:adjustRightInd w:val="0"/>
              <w:jc w:val="both"/>
              <w:rPr>
                <w:rFonts w:ascii="Calibri" w:hAnsi="Calibri" w:cs="Calibri"/>
                <w:color w:val="000000"/>
              </w:rPr>
            </w:pPr>
            <w:r>
              <w:rPr>
                <w:rFonts w:ascii="Calibri" w:hAnsi="Calibri" w:cs="Calibri"/>
                <w:color w:val="000000"/>
              </w:rPr>
              <w:t>Publication de l’appel à candidatures et son cahier des charges</w:t>
            </w:r>
          </w:p>
        </w:tc>
      </w:tr>
      <w:tr w:rsidR="00A967F4" w14:paraId="0D7BD8D0" w14:textId="77777777" w:rsidTr="000312EE">
        <w:tc>
          <w:tcPr>
            <w:tcW w:w="1980" w:type="dxa"/>
            <w:tcBorders>
              <w:top w:val="double" w:sz="4" w:space="0" w:color="A5A5A5" w:themeColor="accent3"/>
              <w:left w:val="single" w:sz="12" w:space="0" w:color="auto"/>
              <w:bottom w:val="double" w:sz="4" w:space="0" w:color="A5A5A5" w:themeColor="accent3"/>
            </w:tcBorders>
            <w:shd w:val="clear" w:color="auto" w:fill="D5DCE4" w:themeFill="text2" w:themeFillTint="33"/>
            <w:vAlign w:val="center"/>
          </w:tcPr>
          <w:p w14:paraId="38758849" w14:textId="4FF5D662" w:rsidR="00A967F4" w:rsidRPr="002A7454" w:rsidRDefault="003E4DB8" w:rsidP="000312EE">
            <w:pPr>
              <w:autoSpaceDE w:val="0"/>
              <w:autoSpaceDN w:val="0"/>
              <w:adjustRightInd w:val="0"/>
              <w:jc w:val="center"/>
              <w:rPr>
                <w:rFonts w:ascii="Calibri" w:hAnsi="Calibri" w:cs="Calibri"/>
                <w:b/>
                <w:color w:val="000000"/>
              </w:rPr>
            </w:pPr>
            <w:r>
              <w:rPr>
                <w:rFonts w:ascii="Calibri" w:hAnsi="Calibri" w:cs="Calibri"/>
                <w:b/>
                <w:color w:val="000000"/>
              </w:rPr>
              <w:t>Jusqu’au 10 décembre</w:t>
            </w:r>
            <w:r w:rsidR="00A967F4" w:rsidRPr="002A7454">
              <w:rPr>
                <w:rFonts w:ascii="Calibri" w:hAnsi="Calibri" w:cs="Calibri"/>
                <w:b/>
                <w:color w:val="000000"/>
              </w:rPr>
              <w:t xml:space="preserve"> 2021</w:t>
            </w:r>
          </w:p>
        </w:tc>
        <w:tc>
          <w:tcPr>
            <w:tcW w:w="7082" w:type="dxa"/>
            <w:tcBorders>
              <w:top w:val="double" w:sz="4" w:space="0" w:color="A5A5A5" w:themeColor="accent3"/>
              <w:bottom w:val="double" w:sz="4" w:space="0" w:color="A5A5A5" w:themeColor="accent3"/>
              <w:right w:val="single" w:sz="12" w:space="0" w:color="auto"/>
            </w:tcBorders>
            <w:shd w:val="clear" w:color="auto" w:fill="D5DCE4" w:themeFill="text2" w:themeFillTint="33"/>
            <w:vAlign w:val="center"/>
          </w:tcPr>
          <w:p w14:paraId="0FFA397B" w14:textId="77777777" w:rsidR="00A967F4" w:rsidRDefault="00A967F4" w:rsidP="000312EE">
            <w:pPr>
              <w:autoSpaceDE w:val="0"/>
              <w:autoSpaceDN w:val="0"/>
              <w:adjustRightInd w:val="0"/>
              <w:jc w:val="both"/>
              <w:rPr>
                <w:rFonts w:ascii="Calibri" w:hAnsi="Calibri" w:cs="Calibri"/>
                <w:color w:val="000000"/>
              </w:rPr>
            </w:pPr>
            <w:r w:rsidRPr="001D6990">
              <w:rPr>
                <w:rFonts w:ascii="Calibri" w:hAnsi="Calibri" w:cs="Calibri"/>
                <w:color w:val="000000"/>
              </w:rPr>
              <w:t>Les</w:t>
            </w:r>
            <w:r>
              <w:rPr>
                <w:rFonts w:ascii="Calibri" w:hAnsi="Calibri" w:cs="Calibri"/>
                <w:color w:val="000000"/>
              </w:rPr>
              <w:t xml:space="preserve"> établissements </w:t>
            </w:r>
            <w:r w:rsidRPr="001D6990">
              <w:rPr>
                <w:rFonts w:ascii="Calibri" w:hAnsi="Calibri" w:cs="Calibri"/>
                <w:color w:val="000000"/>
              </w:rPr>
              <w:t xml:space="preserve">remplissant les critères d’éligibilité figurant dans le cahier des charges, peuvent candidater, par voie électronique, à l’adresse suivante:  </w:t>
            </w:r>
            <w:hyperlink r:id="rId8" w:history="1">
              <w:r w:rsidRPr="00354904">
                <w:rPr>
                  <w:rStyle w:val="Lienhypertexte"/>
                  <w:rFonts w:ascii="Calibri" w:hAnsi="Calibri" w:cs="Calibri"/>
                </w:rPr>
                <w:t>ars-idf-emg@ars.sante.fr</w:t>
              </w:r>
            </w:hyperlink>
            <w:r>
              <w:rPr>
                <w:rFonts w:ascii="Calibri" w:hAnsi="Calibri" w:cs="Calibri"/>
                <w:color w:val="000000"/>
              </w:rPr>
              <w:t xml:space="preserve"> </w:t>
            </w:r>
            <w:r w:rsidRPr="001D6990">
              <w:rPr>
                <w:rFonts w:ascii="Calibri" w:hAnsi="Calibri" w:cs="Calibri"/>
                <w:color w:val="000000"/>
              </w:rPr>
              <w:t>en mentionnant en ob</w:t>
            </w:r>
            <w:r>
              <w:rPr>
                <w:rFonts w:ascii="Calibri" w:hAnsi="Calibri" w:cs="Calibri"/>
                <w:color w:val="000000"/>
              </w:rPr>
              <w:t xml:space="preserve">jet : « Projet ASSURE IDF </w:t>
            </w:r>
            <w:r w:rsidRPr="001D6990">
              <w:rPr>
                <w:rFonts w:ascii="Calibri" w:hAnsi="Calibri" w:cs="Calibri"/>
                <w:color w:val="000000"/>
              </w:rPr>
              <w:t>– appel à candidatures »</w:t>
            </w:r>
          </w:p>
        </w:tc>
      </w:tr>
      <w:tr w:rsidR="00A967F4" w14:paraId="2AAC01E8" w14:textId="77777777" w:rsidTr="000312EE">
        <w:tc>
          <w:tcPr>
            <w:tcW w:w="1980" w:type="dxa"/>
            <w:tcBorders>
              <w:top w:val="double" w:sz="4" w:space="0" w:color="A5A5A5" w:themeColor="accent3"/>
              <w:left w:val="single" w:sz="12" w:space="0" w:color="auto"/>
              <w:bottom w:val="double" w:sz="4" w:space="0" w:color="A5A5A5" w:themeColor="accent3"/>
            </w:tcBorders>
            <w:shd w:val="clear" w:color="auto" w:fill="C5E0B3" w:themeFill="accent6" w:themeFillTint="66"/>
            <w:vAlign w:val="center"/>
          </w:tcPr>
          <w:p w14:paraId="63394EB8" w14:textId="7305F01C" w:rsidR="00A967F4" w:rsidRPr="002A7454" w:rsidRDefault="003E4DB8" w:rsidP="000312EE">
            <w:pPr>
              <w:autoSpaceDE w:val="0"/>
              <w:autoSpaceDN w:val="0"/>
              <w:adjustRightInd w:val="0"/>
              <w:jc w:val="center"/>
              <w:rPr>
                <w:rFonts w:ascii="Calibri" w:hAnsi="Calibri" w:cs="Calibri"/>
                <w:b/>
                <w:color w:val="000000"/>
              </w:rPr>
            </w:pPr>
            <w:r>
              <w:rPr>
                <w:rFonts w:ascii="Calibri" w:hAnsi="Calibri" w:cs="Calibri"/>
                <w:b/>
                <w:color w:val="000000"/>
              </w:rPr>
              <w:t xml:space="preserve">Jusqu’au 17 </w:t>
            </w:r>
            <w:r w:rsidR="00F55D18">
              <w:rPr>
                <w:rFonts w:ascii="Calibri" w:hAnsi="Calibri" w:cs="Calibri"/>
                <w:b/>
                <w:color w:val="000000"/>
              </w:rPr>
              <w:t>décembre</w:t>
            </w:r>
            <w:r w:rsidR="00A967F4" w:rsidRPr="002A7454">
              <w:rPr>
                <w:rFonts w:ascii="Calibri" w:hAnsi="Calibri" w:cs="Calibri"/>
                <w:b/>
                <w:color w:val="000000"/>
              </w:rPr>
              <w:t xml:space="preserve"> 2021</w:t>
            </w:r>
          </w:p>
        </w:tc>
        <w:tc>
          <w:tcPr>
            <w:tcW w:w="7082" w:type="dxa"/>
            <w:tcBorders>
              <w:top w:val="double" w:sz="4" w:space="0" w:color="A5A5A5" w:themeColor="accent3"/>
              <w:bottom w:val="double" w:sz="4" w:space="0" w:color="A5A5A5" w:themeColor="accent3"/>
              <w:right w:val="single" w:sz="12" w:space="0" w:color="auto"/>
            </w:tcBorders>
            <w:shd w:val="clear" w:color="auto" w:fill="C5E0B3" w:themeFill="accent6" w:themeFillTint="66"/>
            <w:vAlign w:val="center"/>
          </w:tcPr>
          <w:p w14:paraId="288DDAA9" w14:textId="77777777" w:rsidR="00A967F4" w:rsidRPr="00BA15F9" w:rsidRDefault="00A967F4" w:rsidP="000312EE">
            <w:pPr>
              <w:autoSpaceDE w:val="0"/>
              <w:autoSpaceDN w:val="0"/>
              <w:adjustRightInd w:val="0"/>
              <w:jc w:val="both"/>
              <w:rPr>
                <w:rFonts w:ascii="Calibri" w:hAnsi="Calibri" w:cs="Calibri"/>
                <w:color w:val="000000"/>
              </w:rPr>
            </w:pPr>
            <w:r w:rsidRPr="00BA15F9">
              <w:rPr>
                <w:rFonts w:ascii="Calibri" w:hAnsi="Calibri" w:cs="Calibri"/>
                <w:color w:val="000000"/>
              </w:rPr>
              <w:t xml:space="preserve">Instruction des candidatures </w:t>
            </w:r>
            <w:r>
              <w:rPr>
                <w:rFonts w:ascii="Calibri" w:hAnsi="Calibri" w:cs="Calibri"/>
                <w:color w:val="000000"/>
              </w:rPr>
              <w:t xml:space="preserve">par la Direction de l’Autonomie en lien avec la Direction de l’Offre de Soins </w:t>
            </w:r>
            <w:r w:rsidRPr="00BA15F9">
              <w:rPr>
                <w:rFonts w:ascii="Calibri" w:hAnsi="Calibri" w:cs="Calibri"/>
                <w:color w:val="000000"/>
              </w:rPr>
              <w:t>(des compléments d’information pourront être demandés aux porteurs de projet)</w:t>
            </w:r>
          </w:p>
          <w:p w14:paraId="650A5BDC" w14:textId="7E63596C" w:rsidR="00A967F4" w:rsidRPr="00BA15F9" w:rsidRDefault="00A967F4" w:rsidP="000312EE">
            <w:pPr>
              <w:autoSpaceDE w:val="0"/>
              <w:autoSpaceDN w:val="0"/>
              <w:adjustRightInd w:val="0"/>
              <w:jc w:val="both"/>
              <w:rPr>
                <w:rFonts w:ascii="Calibri" w:hAnsi="Calibri" w:cs="Calibri"/>
                <w:color w:val="000000"/>
              </w:rPr>
            </w:pPr>
            <w:r>
              <w:rPr>
                <w:rFonts w:ascii="Calibri" w:hAnsi="Calibri" w:cs="Calibri"/>
                <w:color w:val="000000"/>
              </w:rPr>
              <w:t>Sélection du candidat retenu</w:t>
            </w:r>
          </w:p>
          <w:p w14:paraId="5972F84A" w14:textId="77777777" w:rsidR="00A967F4" w:rsidRPr="001D6990" w:rsidRDefault="00A967F4" w:rsidP="000312EE">
            <w:pPr>
              <w:autoSpaceDE w:val="0"/>
              <w:autoSpaceDN w:val="0"/>
              <w:adjustRightInd w:val="0"/>
              <w:jc w:val="both"/>
              <w:rPr>
                <w:rFonts w:ascii="Calibri" w:hAnsi="Calibri" w:cs="Calibri"/>
                <w:color w:val="000000"/>
              </w:rPr>
            </w:pPr>
            <w:r w:rsidRPr="00BA15F9">
              <w:rPr>
                <w:rFonts w:ascii="Calibri" w:hAnsi="Calibri" w:cs="Calibri"/>
                <w:color w:val="000000"/>
              </w:rPr>
              <w:t xml:space="preserve">Validation par </w:t>
            </w:r>
            <w:r>
              <w:rPr>
                <w:rFonts w:ascii="Calibri" w:hAnsi="Calibri" w:cs="Calibri"/>
                <w:color w:val="000000"/>
              </w:rPr>
              <w:t>la DA et la DOS</w:t>
            </w:r>
          </w:p>
        </w:tc>
      </w:tr>
      <w:tr w:rsidR="00A967F4" w14:paraId="42B46CC3" w14:textId="77777777" w:rsidTr="000312EE">
        <w:tc>
          <w:tcPr>
            <w:tcW w:w="1980" w:type="dxa"/>
            <w:tcBorders>
              <w:top w:val="double" w:sz="4" w:space="0" w:color="A5A5A5" w:themeColor="accent3"/>
              <w:left w:val="single" w:sz="12" w:space="0" w:color="auto"/>
              <w:bottom w:val="double" w:sz="4" w:space="0" w:color="A5A5A5" w:themeColor="accent3"/>
            </w:tcBorders>
            <w:shd w:val="clear" w:color="auto" w:fill="D5DCE4" w:themeFill="text2" w:themeFillTint="33"/>
            <w:vAlign w:val="center"/>
          </w:tcPr>
          <w:p w14:paraId="23D1DEA6" w14:textId="0B8B690E" w:rsidR="00A967F4" w:rsidRPr="002A7454" w:rsidRDefault="003E4DB8" w:rsidP="000312EE">
            <w:pPr>
              <w:autoSpaceDE w:val="0"/>
              <w:autoSpaceDN w:val="0"/>
              <w:adjustRightInd w:val="0"/>
              <w:jc w:val="center"/>
              <w:rPr>
                <w:rFonts w:ascii="Calibri" w:hAnsi="Calibri" w:cs="Calibri"/>
                <w:b/>
                <w:color w:val="000000"/>
              </w:rPr>
            </w:pPr>
            <w:r>
              <w:rPr>
                <w:rFonts w:ascii="Calibri" w:hAnsi="Calibri" w:cs="Calibri"/>
                <w:b/>
                <w:color w:val="000000"/>
              </w:rPr>
              <w:t>17</w:t>
            </w:r>
            <w:r w:rsidR="00F55D18">
              <w:rPr>
                <w:rFonts w:ascii="Calibri" w:hAnsi="Calibri" w:cs="Calibri"/>
                <w:b/>
                <w:color w:val="000000"/>
              </w:rPr>
              <w:t xml:space="preserve"> décembre</w:t>
            </w:r>
            <w:r w:rsidR="00A967F4" w:rsidRPr="002A7454">
              <w:rPr>
                <w:rFonts w:ascii="Calibri" w:hAnsi="Calibri" w:cs="Calibri"/>
                <w:b/>
                <w:color w:val="000000"/>
              </w:rPr>
              <w:t xml:space="preserve"> 2021</w:t>
            </w:r>
          </w:p>
        </w:tc>
        <w:tc>
          <w:tcPr>
            <w:tcW w:w="7082" w:type="dxa"/>
            <w:tcBorders>
              <w:top w:val="double" w:sz="4" w:space="0" w:color="A5A5A5" w:themeColor="accent3"/>
              <w:bottom w:val="double" w:sz="4" w:space="0" w:color="A5A5A5" w:themeColor="accent3"/>
              <w:right w:val="single" w:sz="12" w:space="0" w:color="auto"/>
            </w:tcBorders>
            <w:shd w:val="clear" w:color="auto" w:fill="D5DCE4" w:themeFill="text2" w:themeFillTint="33"/>
            <w:vAlign w:val="center"/>
          </w:tcPr>
          <w:p w14:paraId="45575714" w14:textId="77777777" w:rsidR="00A967F4" w:rsidRPr="00BA15F9" w:rsidRDefault="00A967F4" w:rsidP="000312EE">
            <w:pPr>
              <w:autoSpaceDE w:val="0"/>
              <w:autoSpaceDN w:val="0"/>
              <w:adjustRightInd w:val="0"/>
              <w:jc w:val="both"/>
              <w:rPr>
                <w:rFonts w:ascii="Calibri" w:hAnsi="Calibri" w:cs="Calibri"/>
                <w:color w:val="000000"/>
              </w:rPr>
            </w:pPr>
            <w:r w:rsidRPr="00BA15F9">
              <w:rPr>
                <w:rFonts w:ascii="Calibri" w:hAnsi="Calibri" w:cs="Calibri"/>
                <w:color w:val="000000"/>
              </w:rPr>
              <w:t>Communication des résultats de l’inst</w:t>
            </w:r>
            <w:r>
              <w:rPr>
                <w:rFonts w:ascii="Calibri" w:hAnsi="Calibri" w:cs="Calibri"/>
                <w:color w:val="000000"/>
              </w:rPr>
              <w:t>ruction des dossiers aux établissements</w:t>
            </w:r>
          </w:p>
        </w:tc>
      </w:tr>
      <w:tr w:rsidR="00A967F4" w14:paraId="5172E441" w14:textId="77777777" w:rsidTr="000312EE">
        <w:tc>
          <w:tcPr>
            <w:tcW w:w="1980" w:type="dxa"/>
            <w:tcBorders>
              <w:top w:val="double" w:sz="4" w:space="0" w:color="A5A5A5" w:themeColor="accent3"/>
              <w:left w:val="single" w:sz="12" w:space="0" w:color="auto"/>
              <w:bottom w:val="single" w:sz="12" w:space="0" w:color="auto"/>
            </w:tcBorders>
            <w:shd w:val="clear" w:color="auto" w:fill="C5E0B3" w:themeFill="accent6" w:themeFillTint="66"/>
            <w:vAlign w:val="center"/>
          </w:tcPr>
          <w:p w14:paraId="1EBD4E28" w14:textId="77777777" w:rsidR="00A967F4" w:rsidRPr="002A7454" w:rsidRDefault="00A967F4" w:rsidP="000312EE">
            <w:pPr>
              <w:autoSpaceDE w:val="0"/>
              <w:autoSpaceDN w:val="0"/>
              <w:adjustRightInd w:val="0"/>
              <w:jc w:val="center"/>
              <w:rPr>
                <w:rFonts w:ascii="Calibri" w:hAnsi="Calibri" w:cs="Calibri"/>
                <w:b/>
                <w:color w:val="000000"/>
              </w:rPr>
            </w:pPr>
            <w:r w:rsidRPr="002A7454">
              <w:rPr>
                <w:rFonts w:ascii="Calibri" w:hAnsi="Calibri" w:cs="Calibri"/>
                <w:b/>
                <w:color w:val="000000"/>
              </w:rPr>
              <w:t>A partir du 1</w:t>
            </w:r>
            <w:r w:rsidRPr="002A7454">
              <w:rPr>
                <w:rFonts w:ascii="Calibri" w:hAnsi="Calibri" w:cs="Calibri"/>
                <w:b/>
                <w:color w:val="000000"/>
                <w:vertAlign w:val="superscript"/>
              </w:rPr>
              <w:t>er</w:t>
            </w:r>
            <w:r w:rsidRPr="002A7454">
              <w:rPr>
                <w:rFonts w:ascii="Calibri" w:hAnsi="Calibri" w:cs="Calibri"/>
                <w:b/>
                <w:color w:val="000000"/>
              </w:rPr>
              <w:t xml:space="preserve"> janvier 2022</w:t>
            </w:r>
          </w:p>
        </w:tc>
        <w:tc>
          <w:tcPr>
            <w:tcW w:w="7082" w:type="dxa"/>
            <w:tcBorders>
              <w:top w:val="double" w:sz="4" w:space="0" w:color="A5A5A5" w:themeColor="accent3"/>
              <w:bottom w:val="single" w:sz="12" w:space="0" w:color="auto"/>
              <w:right w:val="single" w:sz="12" w:space="0" w:color="auto"/>
            </w:tcBorders>
            <w:shd w:val="clear" w:color="auto" w:fill="C5E0B3" w:themeFill="accent6" w:themeFillTint="66"/>
            <w:vAlign w:val="center"/>
          </w:tcPr>
          <w:p w14:paraId="5F6C1BC9" w14:textId="77777777" w:rsidR="00A967F4" w:rsidRPr="00BA15F9" w:rsidRDefault="00A967F4" w:rsidP="000312EE">
            <w:pPr>
              <w:autoSpaceDE w:val="0"/>
              <w:autoSpaceDN w:val="0"/>
              <w:adjustRightInd w:val="0"/>
              <w:jc w:val="both"/>
              <w:rPr>
                <w:rFonts w:ascii="Calibri" w:hAnsi="Calibri" w:cs="Calibri"/>
                <w:color w:val="000000"/>
              </w:rPr>
            </w:pPr>
            <w:r>
              <w:rPr>
                <w:rFonts w:ascii="Calibri" w:hAnsi="Calibri" w:cs="Calibri"/>
                <w:color w:val="000000"/>
              </w:rPr>
              <w:t>Conduite du projet</w:t>
            </w:r>
            <w:r w:rsidRPr="00BA15F9">
              <w:rPr>
                <w:rFonts w:ascii="Calibri" w:hAnsi="Calibri" w:cs="Calibri"/>
                <w:color w:val="000000"/>
              </w:rPr>
              <w:t xml:space="preserve"> (mise en œuvre, suivi, démarche évaluative)</w:t>
            </w:r>
          </w:p>
        </w:tc>
      </w:tr>
    </w:tbl>
    <w:p w14:paraId="29C18490" w14:textId="6E44457F" w:rsidR="00A967F4" w:rsidRDefault="00A967F4" w:rsidP="00A967F4">
      <w:pPr>
        <w:jc w:val="both"/>
      </w:pPr>
    </w:p>
    <w:p w14:paraId="4EC50101" w14:textId="404F7412" w:rsidR="00A967F4" w:rsidRDefault="00A967F4" w:rsidP="00A967F4">
      <w:pPr>
        <w:jc w:val="both"/>
      </w:pPr>
    </w:p>
    <w:p w14:paraId="4324BEC4" w14:textId="77777777" w:rsidR="00A967F4" w:rsidRPr="00F82E59" w:rsidRDefault="00A967F4" w:rsidP="00A967F4">
      <w:pPr>
        <w:jc w:val="both"/>
      </w:pPr>
    </w:p>
    <w:sectPr w:rsidR="00A967F4" w:rsidRPr="00F82E59" w:rsidSect="007E3110">
      <w:headerReference w:type="default" r:id="rId9"/>
      <w:footerReference w:type="default" r:id="rId10"/>
      <w:pgSz w:w="11906" w:h="16838"/>
      <w:pgMar w:top="20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B106A" w14:textId="77777777" w:rsidR="00DD065B" w:rsidRDefault="00DD065B" w:rsidP="00EF1023">
      <w:pPr>
        <w:spacing w:after="0" w:line="240" w:lineRule="auto"/>
      </w:pPr>
      <w:r>
        <w:separator/>
      </w:r>
    </w:p>
  </w:endnote>
  <w:endnote w:type="continuationSeparator" w:id="0">
    <w:p w14:paraId="7CAEC8DC" w14:textId="77777777" w:rsidR="00DD065B" w:rsidRDefault="00DD065B" w:rsidP="00EF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67836"/>
      <w:docPartObj>
        <w:docPartGallery w:val="Page Numbers (Bottom of Page)"/>
        <w:docPartUnique/>
      </w:docPartObj>
    </w:sdtPr>
    <w:sdtEndPr/>
    <w:sdtContent>
      <w:p w14:paraId="4CEFFD6F" w14:textId="114C4C0F" w:rsidR="00EF1023" w:rsidRDefault="00EF1023">
        <w:pPr>
          <w:pStyle w:val="Pieddepage"/>
          <w:jc w:val="right"/>
        </w:pPr>
        <w:r>
          <w:fldChar w:fldCharType="begin"/>
        </w:r>
        <w:r>
          <w:instrText>PAGE   \* MERGEFORMAT</w:instrText>
        </w:r>
        <w:r>
          <w:fldChar w:fldCharType="separate"/>
        </w:r>
        <w:r w:rsidR="004F3916">
          <w:rPr>
            <w:noProof/>
          </w:rPr>
          <w:t>6</w:t>
        </w:r>
        <w:r>
          <w:fldChar w:fldCharType="end"/>
        </w:r>
      </w:p>
    </w:sdtContent>
  </w:sdt>
  <w:p w14:paraId="2DDA5A60" w14:textId="77777777" w:rsidR="00EF1023" w:rsidRDefault="00EF10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3188" w14:textId="77777777" w:rsidR="00DD065B" w:rsidRDefault="00DD065B" w:rsidP="00EF1023">
      <w:pPr>
        <w:spacing w:after="0" w:line="240" w:lineRule="auto"/>
      </w:pPr>
      <w:r>
        <w:separator/>
      </w:r>
    </w:p>
  </w:footnote>
  <w:footnote w:type="continuationSeparator" w:id="0">
    <w:p w14:paraId="7F19AC50" w14:textId="77777777" w:rsidR="00DD065B" w:rsidRDefault="00DD065B" w:rsidP="00EF1023">
      <w:pPr>
        <w:spacing w:after="0" w:line="240" w:lineRule="auto"/>
      </w:pPr>
      <w:r>
        <w:continuationSeparator/>
      </w:r>
    </w:p>
  </w:footnote>
  <w:footnote w:id="1">
    <w:p w14:paraId="2B02E6F9" w14:textId="2FCDD816" w:rsidR="00560080" w:rsidRDefault="00560080" w:rsidP="004636A0">
      <w:pPr>
        <w:pStyle w:val="Notedebasdepage"/>
        <w:jc w:val="both"/>
      </w:pPr>
      <w:r>
        <w:rPr>
          <w:rStyle w:val="Appelnotedebasdep"/>
        </w:rPr>
        <w:footnoteRef/>
      </w:r>
      <w:r>
        <w:t xml:space="preserve"> Note méthodologique et de synthèse documentaire, « comment réduire les hospitalisations non programmées des résidents des EHPAD » - HAS – Juillet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33CA" w14:textId="694A5BF4" w:rsidR="0057724A" w:rsidRPr="0057724A" w:rsidRDefault="0057724A">
    <w:pPr>
      <w:pStyle w:val="En-tte"/>
      <w:rPr>
        <w:b/>
        <w:sz w:val="28"/>
        <w:szCs w:val="28"/>
      </w:rPr>
    </w:pPr>
    <w:r w:rsidRPr="002A7454">
      <w:rPr>
        <w:noProof/>
        <w:lang w:eastAsia="fr-FR"/>
      </w:rPr>
      <w:drawing>
        <wp:anchor distT="0" distB="0" distL="114300" distR="114300" simplePos="0" relativeHeight="251661312" behindDoc="1" locked="0" layoutInCell="1" allowOverlap="1" wp14:anchorId="0D3D777D" wp14:editId="270146EC">
          <wp:simplePos x="0" y="0"/>
          <wp:positionH relativeFrom="column">
            <wp:posOffset>5257165</wp:posOffset>
          </wp:positionH>
          <wp:positionV relativeFrom="paragraph">
            <wp:posOffset>-181610</wp:posOffset>
          </wp:positionV>
          <wp:extent cx="1068705" cy="733425"/>
          <wp:effectExtent l="0" t="0" r="0" b="9525"/>
          <wp:wrapTight wrapText="bothSides">
            <wp:wrapPolygon edited="0">
              <wp:start x="0" y="0"/>
              <wp:lineTo x="0" y="21319"/>
              <wp:lineTo x="21176" y="21319"/>
              <wp:lineTo x="21176" y="0"/>
              <wp:lineTo x="0" y="0"/>
            </wp:wrapPolygon>
          </wp:wrapTight>
          <wp:docPr id="29" name="Image 29" descr="C:\Users\cherbera\Pictures\Logo_ARS-IDF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bera\Pictures\Logo_ARS-IDF_H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70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7454">
      <w:rPr>
        <w:noProof/>
        <w:lang w:eastAsia="fr-FR"/>
      </w:rPr>
      <w:drawing>
        <wp:anchor distT="0" distB="0" distL="114300" distR="114300" simplePos="0" relativeHeight="251659264" behindDoc="1" locked="0" layoutInCell="1" allowOverlap="1" wp14:anchorId="3AFA2047" wp14:editId="74A1507D">
          <wp:simplePos x="0" y="0"/>
          <wp:positionH relativeFrom="margin">
            <wp:posOffset>-676275</wp:posOffset>
          </wp:positionH>
          <wp:positionV relativeFrom="paragraph">
            <wp:posOffset>-76835</wp:posOffset>
          </wp:positionV>
          <wp:extent cx="962025" cy="779780"/>
          <wp:effectExtent l="0" t="0" r="9525" b="1270"/>
          <wp:wrapTight wrapText="bothSides">
            <wp:wrapPolygon edited="0">
              <wp:start x="0" y="0"/>
              <wp:lineTo x="0" y="21107"/>
              <wp:lineTo x="21386" y="21107"/>
              <wp:lineTo x="21386" y="0"/>
              <wp:lineTo x="0" y="0"/>
            </wp:wrapPolygon>
          </wp:wrapTight>
          <wp:docPr id="30" name="Image 30" descr="C:\Users\cherbera\Picture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rbera\Pictures\téléchargem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7797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57724A">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01988"/>
    <w:multiLevelType w:val="hybridMultilevel"/>
    <w:tmpl w:val="9B1AB1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7C601A"/>
    <w:multiLevelType w:val="hybridMultilevel"/>
    <w:tmpl w:val="0A886A02"/>
    <w:lvl w:ilvl="0" w:tplc="C46256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E7"/>
    <w:rsid w:val="000179AB"/>
    <w:rsid w:val="000217A0"/>
    <w:rsid w:val="0004644C"/>
    <w:rsid w:val="000609A3"/>
    <w:rsid w:val="00074F6A"/>
    <w:rsid w:val="000946E9"/>
    <w:rsid w:val="000D68AE"/>
    <w:rsid w:val="0010666F"/>
    <w:rsid w:val="00152661"/>
    <w:rsid w:val="00156AE7"/>
    <w:rsid w:val="00182807"/>
    <w:rsid w:val="001D37FE"/>
    <w:rsid w:val="00224FBB"/>
    <w:rsid w:val="00267CD1"/>
    <w:rsid w:val="00272947"/>
    <w:rsid w:val="0029374F"/>
    <w:rsid w:val="002A5703"/>
    <w:rsid w:val="00302376"/>
    <w:rsid w:val="003119E5"/>
    <w:rsid w:val="00354A02"/>
    <w:rsid w:val="00364C8B"/>
    <w:rsid w:val="003A4BF9"/>
    <w:rsid w:val="003D6A26"/>
    <w:rsid w:val="003E1AD6"/>
    <w:rsid w:val="003E4DB8"/>
    <w:rsid w:val="003F266B"/>
    <w:rsid w:val="004218C6"/>
    <w:rsid w:val="00454A8E"/>
    <w:rsid w:val="004636A0"/>
    <w:rsid w:val="00484DE9"/>
    <w:rsid w:val="004B17EB"/>
    <w:rsid w:val="004F3916"/>
    <w:rsid w:val="00560080"/>
    <w:rsid w:val="0057724A"/>
    <w:rsid w:val="005A0E3F"/>
    <w:rsid w:val="005A3912"/>
    <w:rsid w:val="005D41A5"/>
    <w:rsid w:val="005E4BC6"/>
    <w:rsid w:val="00604B5C"/>
    <w:rsid w:val="006165A7"/>
    <w:rsid w:val="00621229"/>
    <w:rsid w:val="00632E92"/>
    <w:rsid w:val="00666594"/>
    <w:rsid w:val="00677E10"/>
    <w:rsid w:val="006804D9"/>
    <w:rsid w:val="006A2236"/>
    <w:rsid w:val="006B0FE7"/>
    <w:rsid w:val="006D5F7C"/>
    <w:rsid w:val="00712094"/>
    <w:rsid w:val="00755A4B"/>
    <w:rsid w:val="007C1F5E"/>
    <w:rsid w:val="007D0298"/>
    <w:rsid w:val="007E3110"/>
    <w:rsid w:val="00810514"/>
    <w:rsid w:val="00825D16"/>
    <w:rsid w:val="00846B8C"/>
    <w:rsid w:val="008471A0"/>
    <w:rsid w:val="008673E1"/>
    <w:rsid w:val="008942D2"/>
    <w:rsid w:val="00896B25"/>
    <w:rsid w:val="008A1517"/>
    <w:rsid w:val="008B7FF8"/>
    <w:rsid w:val="008E4007"/>
    <w:rsid w:val="008F4659"/>
    <w:rsid w:val="00921555"/>
    <w:rsid w:val="00960DC0"/>
    <w:rsid w:val="00986D62"/>
    <w:rsid w:val="009A6F1E"/>
    <w:rsid w:val="009D782A"/>
    <w:rsid w:val="00A22D02"/>
    <w:rsid w:val="00A43338"/>
    <w:rsid w:val="00A967F4"/>
    <w:rsid w:val="00AC1D32"/>
    <w:rsid w:val="00AC45B2"/>
    <w:rsid w:val="00B24E51"/>
    <w:rsid w:val="00BA2D1A"/>
    <w:rsid w:val="00BC3769"/>
    <w:rsid w:val="00BE4048"/>
    <w:rsid w:val="00C27AB5"/>
    <w:rsid w:val="00C41FC5"/>
    <w:rsid w:val="00C56AC8"/>
    <w:rsid w:val="00C6096D"/>
    <w:rsid w:val="00C66ACF"/>
    <w:rsid w:val="00C66F25"/>
    <w:rsid w:val="00CA156D"/>
    <w:rsid w:val="00CD1B48"/>
    <w:rsid w:val="00CD2C1F"/>
    <w:rsid w:val="00D07205"/>
    <w:rsid w:val="00D11044"/>
    <w:rsid w:val="00D119FA"/>
    <w:rsid w:val="00D24B39"/>
    <w:rsid w:val="00D26875"/>
    <w:rsid w:val="00D62CAE"/>
    <w:rsid w:val="00D751E2"/>
    <w:rsid w:val="00D921FD"/>
    <w:rsid w:val="00DD065B"/>
    <w:rsid w:val="00DD1981"/>
    <w:rsid w:val="00E762EC"/>
    <w:rsid w:val="00EB6039"/>
    <w:rsid w:val="00EC79FC"/>
    <w:rsid w:val="00EF1023"/>
    <w:rsid w:val="00F55D18"/>
    <w:rsid w:val="00F82E59"/>
    <w:rsid w:val="00FB0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F31A"/>
  <w15:chartTrackingRefBased/>
  <w15:docId w15:val="{62B0F019-CA3C-499F-B9AA-89F23550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1B48"/>
    <w:pPr>
      <w:ind w:left="720"/>
      <w:contextualSpacing/>
    </w:pPr>
  </w:style>
  <w:style w:type="table" w:styleId="Grilledutableau">
    <w:name w:val="Table Grid"/>
    <w:basedOn w:val="TableauNormal"/>
    <w:uiPriority w:val="39"/>
    <w:rsid w:val="0082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1023"/>
    <w:pPr>
      <w:tabs>
        <w:tab w:val="center" w:pos="4536"/>
        <w:tab w:val="right" w:pos="9072"/>
      </w:tabs>
      <w:spacing w:after="0" w:line="240" w:lineRule="auto"/>
    </w:pPr>
  </w:style>
  <w:style w:type="character" w:customStyle="1" w:styleId="En-tteCar">
    <w:name w:val="En-tête Car"/>
    <w:basedOn w:val="Policepardfaut"/>
    <w:link w:val="En-tte"/>
    <w:uiPriority w:val="99"/>
    <w:rsid w:val="00EF1023"/>
  </w:style>
  <w:style w:type="paragraph" w:styleId="Pieddepage">
    <w:name w:val="footer"/>
    <w:basedOn w:val="Normal"/>
    <w:link w:val="PieddepageCar"/>
    <w:uiPriority w:val="99"/>
    <w:unhideWhenUsed/>
    <w:rsid w:val="00EF10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023"/>
  </w:style>
  <w:style w:type="paragraph" w:styleId="Textedebulles">
    <w:name w:val="Balloon Text"/>
    <w:basedOn w:val="Normal"/>
    <w:link w:val="TextedebullesCar"/>
    <w:uiPriority w:val="99"/>
    <w:semiHidden/>
    <w:unhideWhenUsed/>
    <w:rsid w:val="00BA2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2D1A"/>
    <w:rPr>
      <w:rFonts w:ascii="Segoe UI" w:hAnsi="Segoe UI" w:cs="Segoe UI"/>
      <w:sz w:val="18"/>
      <w:szCs w:val="18"/>
    </w:rPr>
  </w:style>
  <w:style w:type="character" w:styleId="Marquedecommentaire">
    <w:name w:val="annotation reference"/>
    <w:basedOn w:val="Policepardfaut"/>
    <w:uiPriority w:val="99"/>
    <w:semiHidden/>
    <w:unhideWhenUsed/>
    <w:rsid w:val="006D5F7C"/>
    <w:rPr>
      <w:sz w:val="16"/>
      <w:szCs w:val="16"/>
    </w:rPr>
  </w:style>
  <w:style w:type="paragraph" w:styleId="Commentaire">
    <w:name w:val="annotation text"/>
    <w:basedOn w:val="Normal"/>
    <w:link w:val="CommentaireCar"/>
    <w:uiPriority w:val="99"/>
    <w:semiHidden/>
    <w:unhideWhenUsed/>
    <w:rsid w:val="006D5F7C"/>
    <w:pPr>
      <w:spacing w:line="240" w:lineRule="auto"/>
    </w:pPr>
    <w:rPr>
      <w:sz w:val="20"/>
      <w:szCs w:val="20"/>
    </w:rPr>
  </w:style>
  <w:style w:type="character" w:customStyle="1" w:styleId="CommentaireCar">
    <w:name w:val="Commentaire Car"/>
    <w:basedOn w:val="Policepardfaut"/>
    <w:link w:val="Commentaire"/>
    <w:uiPriority w:val="99"/>
    <w:semiHidden/>
    <w:rsid w:val="006D5F7C"/>
    <w:rPr>
      <w:sz w:val="20"/>
      <w:szCs w:val="20"/>
    </w:rPr>
  </w:style>
  <w:style w:type="paragraph" w:styleId="Objetducommentaire">
    <w:name w:val="annotation subject"/>
    <w:basedOn w:val="Commentaire"/>
    <w:next w:val="Commentaire"/>
    <w:link w:val="ObjetducommentaireCar"/>
    <w:uiPriority w:val="99"/>
    <w:semiHidden/>
    <w:unhideWhenUsed/>
    <w:rsid w:val="006D5F7C"/>
    <w:rPr>
      <w:b/>
      <w:bCs/>
    </w:rPr>
  </w:style>
  <w:style w:type="character" w:customStyle="1" w:styleId="ObjetducommentaireCar">
    <w:name w:val="Objet du commentaire Car"/>
    <w:basedOn w:val="CommentaireCar"/>
    <w:link w:val="Objetducommentaire"/>
    <w:uiPriority w:val="99"/>
    <w:semiHidden/>
    <w:rsid w:val="006D5F7C"/>
    <w:rPr>
      <w:b/>
      <w:bCs/>
      <w:sz w:val="20"/>
      <w:szCs w:val="20"/>
    </w:rPr>
  </w:style>
  <w:style w:type="paragraph" w:styleId="Notedebasdepage">
    <w:name w:val="footnote text"/>
    <w:basedOn w:val="Normal"/>
    <w:link w:val="NotedebasdepageCar"/>
    <w:uiPriority w:val="99"/>
    <w:semiHidden/>
    <w:unhideWhenUsed/>
    <w:rsid w:val="005600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0080"/>
    <w:rPr>
      <w:sz w:val="20"/>
      <w:szCs w:val="20"/>
    </w:rPr>
  </w:style>
  <w:style w:type="character" w:styleId="Appelnotedebasdep">
    <w:name w:val="footnote reference"/>
    <w:basedOn w:val="Policepardfaut"/>
    <w:uiPriority w:val="99"/>
    <w:semiHidden/>
    <w:unhideWhenUsed/>
    <w:rsid w:val="00560080"/>
    <w:rPr>
      <w:vertAlign w:val="superscript"/>
    </w:rPr>
  </w:style>
  <w:style w:type="character" w:styleId="Lienhypertexte">
    <w:name w:val="Hyperlink"/>
    <w:basedOn w:val="Policepardfaut"/>
    <w:uiPriority w:val="99"/>
    <w:unhideWhenUsed/>
    <w:rsid w:val="00A96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4038">
      <w:bodyDiv w:val="1"/>
      <w:marLeft w:val="0"/>
      <w:marRight w:val="0"/>
      <w:marTop w:val="0"/>
      <w:marBottom w:val="0"/>
      <w:divBdr>
        <w:top w:val="none" w:sz="0" w:space="0" w:color="auto"/>
        <w:left w:val="none" w:sz="0" w:space="0" w:color="auto"/>
        <w:bottom w:val="none" w:sz="0" w:space="0" w:color="auto"/>
        <w:right w:val="none" w:sz="0" w:space="0" w:color="auto"/>
      </w:divBdr>
    </w:div>
    <w:div w:id="121438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df-emg@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2945-E5B8-4579-AB53-74BB8713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9230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BONGRAND, Eric</dc:creator>
  <cp:keywords/>
  <dc:description/>
  <cp:lastModifiedBy>BOREUX, Céline</cp:lastModifiedBy>
  <cp:revision>2</cp:revision>
  <cp:lastPrinted>2021-10-13T10:19:00Z</cp:lastPrinted>
  <dcterms:created xsi:type="dcterms:W3CDTF">2021-11-03T17:18:00Z</dcterms:created>
  <dcterms:modified xsi:type="dcterms:W3CDTF">2021-11-03T17:18:00Z</dcterms:modified>
</cp:coreProperties>
</file>