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1215"/>
        <w:tblW w:w="0" w:type="auto"/>
        <w:tblInd w:w="0" w:type="dxa"/>
        <w:tblLook w:val="04A0" w:firstRow="1" w:lastRow="0" w:firstColumn="1" w:lastColumn="0" w:noHBand="0" w:noVBand="1"/>
      </w:tblPr>
      <w:tblGrid>
        <w:gridCol w:w="4556"/>
        <w:gridCol w:w="4460"/>
      </w:tblGrid>
      <w:tr w:rsidR="00E849A5" w:rsidRPr="00987E41" w:rsidTr="00E849A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5" w:rsidRPr="00987E41" w:rsidRDefault="00E849A5" w:rsidP="00E849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87E41">
              <w:rPr>
                <w:rFonts w:ascii="Arial" w:hAnsi="Arial" w:cs="Arial"/>
                <w:b/>
                <w:sz w:val="20"/>
              </w:rPr>
              <w:t>Questions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5" w:rsidRPr="00987E41" w:rsidRDefault="00E849A5" w:rsidP="00E849A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87E41">
              <w:rPr>
                <w:rFonts w:ascii="Arial" w:hAnsi="Arial" w:cs="Arial"/>
                <w:b/>
                <w:sz w:val="20"/>
              </w:rPr>
              <w:t>Réponses ARS</w:t>
            </w:r>
          </w:p>
        </w:tc>
      </w:tr>
      <w:tr w:rsidR="00E849A5" w:rsidRPr="00987E41" w:rsidTr="00E849A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5" w:rsidRPr="00987E41" w:rsidRDefault="0062481E" w:rsidP="00F3535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>P</w:t>
            </w:r>
            <w:r w:rsidR="00F35353" w:rsidRPr="00987E41">
              <w:rPr>
                <w:rFonts w:ascii="Arial" w:hAnsi="Arial" w:cs="Arial"/>
                <w:sz w:val="20"/>
              </w:rPr>
              <w:t>eut-on</w:t>
            </w:r>
            <w:r w:rsidR="00E849A5" w:rsidRPr="00987E41">
              <w:rPr>
                <w:rFonts w:ascii="Arial" w:hAnsi="Arial" w:cs="Arial"/>
                <w:sz w:val="20"/>
              </w:rPr>
              <w:t xml:space="preserve"> candidater à ce dispositif de mise en place</w:t>
            </w:r>
            <w:r w:rsidRPr="00987E41">
              <w:rPr>
                <w:rFonts w:ascii="Arial" w:hAnsi="Arial" w:cs="Arial"/>
                <w:sz w:val="20"/>
              </w:rPr>
              <w:t xml:space="preserve"> d’un « parcours après cancer » </w:t>
            </w:r>
            <w:r w:rsidRPr="00987E41">
              <w:rPr>
                <w:rFonts w:ascii="Arial" w:hAnsi="Arial" w:cs="Arial"/>
                <w:sz w:val="20"/>
              </w:rPr>
              <w:t>en tant qu’établissement de santé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5" w:rsidRPr="00987E41" w:rsidRDefault="00E849A5" w:rsidP="00E849A5">
            <w:pPr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>L’appel à candidature ne limite pas le type de promoteurs pouvant déposer un dossier.</w:t>
            </w:r>
          </w:p>
          <w:p w:rsidR="00E849A5" w:rsidRPr="00987E41" w:rsidRDefault="00E849A5" w:rsidP="00987E41">
            <w:pPr>
              <w:jc w:val="both"/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 xml:space="preserve">Cependant, l’ARS souhaite porter un dispositif lisible et structurer et éviter les offres multiples sur un territoire donné. Nous vous conseillons de vous rapprocher du DAC (dispositif d’appui à la coordination) de votre territoire ou dans l’attente de sa constitution du réseau territorial. L’objet est bien de déposer un dossier collaboratif fédérant les ressources disponibles. </w:t>
            </w:r>
          </w:p>
        </w:tc>
      </w:tr>
      <w:tr w:rsidR="00002349" w:rsidRPr="00987E41" w:rsidTr="00E849A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49" w:rsidRPr="00987E41" w:rsidRDefault="00002349" w:rsidP="00002349">
            <w:pPr>
              <w:jc w:val="both"/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>Le forfait global peut-il être utilisé pour financer les bilan</w:t>
            </w:r>
            <w:r w:rsidR="0062481E" w:rsidRPr="00987E41">
              <w:rPr>
                <w:rFonts w:ascii="Arial" w:hAnsi="Arial" w:cs="Arial"/>
                <w:sz w:val="20"/>
              </w:rPr>
              <w:t>s</w:t>
            </w:r>
            <w:r w:rsidRPr="00987E41">
              <w:rPr>
                <w:rFonts w:ascii="Arial" w:hAnsi="Arial" w:cs="Arial"/>
                <w:sz w:val="20"/>
              </w:rPr>
              <w:t xml:space="preserve"> ou consultations réalisés au sein des plateformes hospitalières de soins de support qui peuvent être privilégiés par les patients hospitalisés pour le suivi post cancer</w:t>
            </w:r>
            <w:r w:rsidR="0062481E" w:rsidRPr="00987E41">
              <w:rPr>
                <w:rFonts w:ascii="Arial" w:hAnsi="Arial" w:cs="Arial"/>
                <w:sz w:val="20"/>
              </w:rPr>
              <w:t> ?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E" w:rsidRPr="00987E41" w:rsidRDefault="0062481E" w:rsidP="0062481E">
            <w:pPr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 xml:space="preserve">L’objet de l’appel à candidature est de délivrer des soins de support dans la période après cancer. De ce fait, le patient n’est plus hospitalisé. </w:t>
            </w:r>
          </w:p>
          <w:p w:rsidR="0062481E" w:rsidRPr="00987E41" w:rsidRDefault="0062481E" w:rsidP="0062481E">
            <w:pPr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 xml:space="preserve">Les soins peuvent être délivrés par des personnels salariés. </w:t>
            </w:r>
          </w:p>
        </w:tc>
      </w:tr>
      <w:tr w:rsidR="00002349" w:rsidRPr="00987E41" w:rsidTr="00E849A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49" w:rsidRPr="00987E41" w:rsidRDefault="00002349" w:rsidP="00002349">
            <w:pPr>
              <w:jc w:val="both"/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 xml:space="preserve">La "structure" portant le dispositif, telle que signalée dans le contrat type annexé à l'arrêté du 24 décembre 2020, </w:t>
            </w:r>
            <w:proofErr w:type="spellStart"/>
            <w:r w:rsidRPr="00987E41">
              <w:rPr>
                <w:rFonts w:ascii="Arial" w:hAnsi="Arial" w:cs="Arial"/>
                <w:sz w:val="20"/>
              </w:rPr>
              <w:t>doit-elle</w:t>
            </w:r>
            <w:proofErr w:type="spellEnd"/>
            <w:r w:rsidRPr="00987E41">
              <w:rPr>
                <w:rFonts w:ascii="Arial" w:hAnsi="Arial" w:cs="Arial"/>
                <w:sz w:val="20"/>
              </w:rPr>
              <w:t xml:space="preserve"> forcément disposer d'un numéro FINESS ?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49" w:rsidRPr="00987E41" w:rsidRDefault="00002349" w:rsidP="00002349">
            <w:pPr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 xml:space="preserve">Le </w:t>
            </w:r>
            <w:proofErr w:type="spellStart"/>
            <w:r w:rsidRPr="00987E41">
              <w:rPr>
                <w:rFonts w:ascii="Arial" w:hAnsi="Arial" w:cs="Arial"/>
                <w:sz w:val="20"/>
              </w:rPr>
              <w:t>Finess</w:t>
            </w:r>
            <w:proofErr w:type="spellEnd"/>
            <w:r w:rsidRPr="00987E41">
              <w:rPr>
                <w:rFonts w:ascii="Arial" w:hAnsi="Arial" w:cs="Arial"/>
                <w:sz w:val="20"/>
              </w:rPr>
              <w:t xml:space="preserve"> n’est pas obligatoire pour </w:t>
            </w:r>
            <w:r w:rsidR="0062481E" w:rsidRPr="00987E41">
              <w:rPr>
                <w:rFonts w:ascii="Arial" w:hAnsi="Arial" w:cs="Arial"/>
                <w:sz w:val="20"/>
              </w:rPr>
              <w:t>porter l’expérimentation</w:t>
            </w:r>
            <w:r w:rsidRPr="00987E41">
              <w:rPr>
                <w:rFonts w:ascii="Arial" w:hAnsi="Arial" w:cs="Arial"/>
                <w:sz w:val="20"/>
              </w:rPr>
              <w:t>.</w:t>
            </w:r>
          </w:p>
          <w:p w:rsidR="00002349" w:rsidRPr="00987E41" w:rsidRDefault="00002349" w:rsidP="00002349">
            <w:pPr>
              <w:rPr>
                <w:rFonts w:ascii="Arial" w:hAnsi="Arial" w:cs="Arial"/>
                <w:sz w:val="20"/>
              </w:rPr>
            </w:pPr>
          </w:p>
          <w:p w:rsidR="00002349" w:rsidRPr="00987E41" w:rsidRDefault="00002349" w:rsidP="00E849A5">
            <w:pPr>
              <w:rPr>
                <w:rFonts w:ascii="Arial" w:hAnsi="Arial" w:cs="Arial"/>
                <w:sz w:val="20"/>
              </w:rPr>
            </w:pPr>
          </w:p>
        </w:tc>
      </w:tr>
      <w:tr w:rsidR="00002349" w:rsidRPr="00987E41" w:rsidTr="00E849A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49" w:rsidRPr="00987E41" w:rsidRDefault="0062481E" w:rsidP="0062481E">
            <w:pPr>
              <w:jc w:val="both"/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 xml:space="preserve">La file active de </w:t>
            </w:r>
            <w:r w:rsidR="00002349" w:rsidRPr="00987E41">
              <w:rPr>
                <w:rFonts w:ascii="Arial" w:hAnsi="Arial" w:cs="Arial"/>
                <w:sz w:val="20"/>
              </w:rPr>
              <w:t xml:space="preserve">300 patients </w:t>
            </w:r>
            <w:r w:rsidRPr="00987E41">
              <w:rPr>
                <w:rFonts w:ascii="Arial" w:hAnsi="Arial" w:cs="Arial"/>
                <w:sz w:val="20"/>
              </w:rPr>
              <w:t>correspond-elle à la file active en</w:t>
            </w:r>
            <w:r w:rsidR="00002349" w:rsidRPr="00987E41">
              <w:rPr>
                <w:rFonts w:ascii="Arial" w:hAnsi="Arial" w:cs="Arial"/>
                <w:sz w:val="20"/>
              </w:rPr>
              <w:t xml:space="preserve"> cancéro</w:t>
            </w:r>
            <w:r w:rsidRPr="00987E41">
              <w:rPr>
                <w:rFonts w:ascii="Arial" w:hAnsi="Arial" w:cs="Arial"/>
                <w:sz w:val="20"/>
              </w:rPr>
              <w:t xml:space="preserve">logie de la structure ou bien à la file active minimum à intégrer </w:t>
            </w:r>
            <w:r w:rsidR="00002349" w:rsidRPr="00987E41">
              <w:rPr>
                <w:rFonts w:ascii="Arial" w:hAnsi="Arial" w:cs="Arial"/>
                <w:sz w:val="20"/>
              </w:rPr>
              <w:t xml:space="preserve"> dans le programme après cancer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49" w:rsidRPr="00987E41" w:rsidRDefault="00002349" w:rsidP="0062481E">
            <w:pPr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>Il s’agit de la file active minimum</w:t>
            </w:r>
            <w:r w:rsidR="0062481E" w:rsidRPr="00987E41">
              <w:rPr>
                <w:rFonts w:ascii="Arial" w:hAnsi="Arial" w:cs="Arial"/>
                <w:sz w:val="20"/>
              </w:rPr>
              <w:t xml:space="preserve"> à intégrer </w:t>
            </w:r>
            <w:r w:rsidRPr="00987E41">
              <w:rPr>
                <w:rFonts w:ascii="Arial" w:hAnsi="Arial" w:cs="Arial"/>
                <w:sz w:val="20"/>
              </w:rPr>
              <w:t>dans le programme après cancer</w:t>
            </w:r>
          </w:p>
        </w:tc>
      </w:tr>
      <w:tr w:rsidR="0062481E" w:rsidRPr="00987E41" w:rsidTr="00E849A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E" w:rsidRPr="00987E41" w:rsidRDefault="0062481E" w:rsidP="0062481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 xml:space="preserve">Les séances peuvent-elles prendre la forme de téléconsultation ?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E" w:rsidRPr="00987E41" w:rsidRDefault="0062481E" w:rsidP="0062481E">
            <w:pPr>
              <w:jc w:val="both"/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>Les séances (et plus particulièrement de psychologues) peuvent prendre la forme de téléconsultations. En effet, la téléconsultation apparaît comme une situati</w:t>
            </w:r>
            <w:bookmarkStart w:id="0" w:name="_GoBack"/>
            <w:bookmarkEnd w:id="0"/>
            <w:r w:rsidRPr="00987E41">
              <w:rPr>
                <w:rFonts w:ascii="Arial" w:hAnsi="Arial" w:cs="Arial"/>
                <w:sz w:val="20"/>
              </w:rPr>
              <w:t xml:space="preserve">on innovante (en particulier au cours de la crise </w:t>
            </w:r>
            <w:proofErr w:type="spellStart"/>
            <w:r w:rsidRPr="00987E41">
              <w:rPr>
                <w:rFonts w:ascii="Arial" w:hAnsi="Arial" w:cs="Arial"/>
                <w:sz w:val="20"/>
              </w:rPr>
              <w:t>Covid</w:t>
            </w:r>
            <w:proofErr w:type="spellEnd"/>
            <w:r w:rsidRPr="00987E41">
              <w:rPr>
                <w:rFonts w:ascii="Arial" w:hAnsi="Arial" w:cs="Arial"/>
                <w:sz w:val="20"/>
              </w:rPr>
              <w:t xml:space="preserve">) pour faciliter l’accès aux soins de support. A noter, il n’y a pas de financement supplémentaire pour les téléconsultations. </w:t>
            </w:r>
          </w:p>
        </w:tc>
      </w:tr>
      <w:tr w:rsidR="0062481E" w:rsidRPr="00987E41" w:rsidTr="00E849A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E" w:rsidRPr="00987E41" w:rsidRDefault="0062481E" w:rsidP="0062481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 xml:space="preserve">Est-il possible d’offrir des séances d’une heure ?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E" w:rsidRPr="00987E41" w:rsidRDefault="0062481E" w:rsidP="0062481E">
            <w:pPr>
              <w:jc w:val="both"/>
              <w:rPr>
                <w:rFonts w:ascii="Arial" w:hAnsi="Arial" w:cs="Arial"/>
                <w:sz w:val="20"/>
              </w:rPr>
            </w:pPr>
            <w:r w:rsidRPr="00987E41">
              <w:rPr>
                <w:rFonts w:ascii="Arial" w:hAnsi="Arial" w:cs="Arial"/>
                <w:sz w:val="20"/>
              </w:rPr>
              <w:t>L’instruction fixe des tarifs et des durées pour les bilans et les consultations. Il n’est pas possible de déroger à ces règles. En revanche, il est possible d’enchaîner deux consultations de 30 minutes pour un tarif de 2X22,50 euros dans la limite des 180 euros annuels dédiés au parcours</w:t>
            </w:r>
          </w:p>
        </w:tc>
      </w:tr>
    </w:tbl>
    <w:p w:rsidR="00C95E48" w:rsidRDefault="00E849A5" w:rsidP="00E849A5">
      <w:pPr>
        <w:jc w:val="center"/>
        <w:rPr>
          <w:rFonts w:ascii="Arial" w:hAnsi="Arial" w:cs="Arial"/>
          <w:sz w:val="24"/>
        </w:rPr>
      </w:pPr>
      <w:r w:rsidRPr="00E849A5">
        <w:rPr>
          <w:rFonts w:ascii="Arial" w:hAnsi="Arial" w:cs="Arial"/>
          <w:sz w:val="24"/>
        </w:rPr>
        <w:t>FAQ ARS IDF</w:t>
      </w:r>
    </w:p>
    <w:p w:rsidR="0062481E" w:rsidRDefault="0062481E" w:rsidP="00E849A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juillet 2021</w:t>
      </w:r>
    </w:p>
    <w:p w:rsidR="0062481E" w:rsidRPr="00E849A5" w:rsidRDefault="0062481E" w:rsidP="00E849A5">
      <w:pPr>
        <w:jc w:val="center"/>
        <w:rPr>
          <w:rFonts w:ascii="Arial" w:hAnsi="Arial" w:cs="Arial"/>
          <w:sz w:val="24"/>
        </w:rPr>
      </w:pPr>
    </w:p>
    <w:sectPr w:rsidR="0062481E" w:rsidRPr="00E84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C37C5"/>
    <w:multiLevelType w:val="hybridMultilevel"/>
    <w:tmpl w:val="682E3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5"/>
    <w:rsid w:val="00002349"/>
    <w:rsid w:val="0033589C"/>
    <w:rsid w:val="0062481E"/>
    <w:rsid w:val="00987E41"/>
    <w:rsid w:val="00C95E48"/>
    <w:rsid w:val="00E849A5"/>
    <w:rsid w:val="00F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F62F"/>
  <w15:chartTrackingRefBased/>
  <w15:docId w15:val="{446D8572-AF11-4E71-8F03-E230B68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A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9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4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MORVAN, Annick</dc:creator>
  <cp:keywords/>
  <dc:description/>
  <cp:lastModifiedBy>SIMON, Danièle</cp:lastModifiedBy>
  <cp:revision>3</cp:revision>
  <cp:lastPrinted>2021-07-29T12:16:00Z</cp:lastPrinted>
  <dcterms:created xsi:type="dcterms:W3CDTF">2021-07-30T13:28:00Z</dcterms:created>
  <dcterms:modified xsi:type="dcterms:W3CDTF">2021-07-30T13:30:00Z</dcterms:modified>
</cp:coreProperties>
</file>