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D35" w:rsidRPr="00073881" w:rsidRDefault="00052173">
      <w:pPr>
        <w:pStyle w:val="Titre"/>
        <w:spacing w:after="240"/>
        <w:jc w:val="center"/>
        <w:rPr>
          <w:rFonts w:ascii="Calibri" w:eastAsia="Calibri" w:hAnsi="Calibri" w:cs="Calibri"/>
          <w:color w:val="366091"/>
          <w:sz w:val="28"/>
          <w:szCs w:val="28"/>
        </w:rPr>
      </w:pPr>
      <w:bookmarkStart w:id="0" w:name="_GoBack"/>
      <w:bookmarkEnd w:id="0"/>
      <w:r w:rsidRPr="00073881">
        <w:rPr>
          <w:rFonts w:ascii="Calibri" w:eastAsia="Calibri" w:hAnsi="Calibri" w:cs="Calibri"/>
          <w:color w:val="366091"/>
          <w:sz w:val="28"/>
          <w:szCs w:val="28"/>
        </w:rPr>
        <w:t>Appel à manifestation d'intérêt</w:t>
      </w:r>
    </w:p>
    <w:p w:rsidR="00003D35" w:rsidRDefault="00052173">
      <w:pPr>
        <w:pStyle w:val="Titre"/>
        <w:spacing w:after="240"/>
        <w:jc w:val="center"/>
        <w:rPr>
          <w:rFonts w:ascii="Calibri" w:eastAsia="Calibri" w:hAnsi="Calibri" w:cs="Calibri"/>
          <w:color w:val="366091"/>
          <w:sz w:val="28"/>
          <w:szCs w:val="28"/>
        </w:rPr>
      </w:pPr>
      <w:r>
        <w:rPr>
          <w:rFonts w:ascii="Calibri" w:eastAsia="Calibri" w:hAnsi="Calibri" w:cs="Calibri"/>
          <w:color w:val="366091"/>
          <w:sz w:val="28"/>
          <w:szCs w:val="28"/>
        </w:rPr>
        <w:t xml:space="preserve"> Action Collective Innovante et Apprenante (ACIA) francilienne “Numérique et QVT”</w:t>
      </w:r>
    </w:p>
    <w:p w:rsidR="00003D35" w:rsidRDefault="007072B1">
      <w:pPr>
        <w:pStyle w:val="Titre"/>
        <w:spacing w:after="240"/>
        <w:jc w:val="center"/>
        <w:rPr>
          <w:rFonts w:ascii="Calibri" w:eastAsia="Calibri" w:hAnsi="Calibri" w:cs="Calibri"/>
          <w:color w:val="366091"/>
          <w:sz w:val="24"/>
          <w:szCs w:val="24"/>
        </w:rPr>
      </w:pPr>
      <w:r>
        <w:rPr>
          <w:rFonts w:ascii="Calibri" w:eastAsia="Calibri" w:hAnsi="Calibri" w:cs="Calibri"/>
          <w:color w:val="366091"/>
          <w:sz w:val="24"/>
          <w:szCs w:val="24"/>
        </w:rPr>
        <w:t>Dans</w:t>
      </w:r>
      <w:r w:rsidR="00052173">
        <w:rPr>
          <w:rFonts w:ascii="Calibri" w:eastAsia="Calibri" w:hAnsi="Calibri" w:cs="Calibri"/>
          <w:color w:val="366091"/>
          <w:sz w:val="24"/>
          <w:szCs w:val="24"/>
        </w:rPr>
        <w:t xml:space="preserve"> le cadre d’une con</w:t>
      </w:r>
      <w:r>
        <w:rPr>
          <w:rFonts w:ascii="Calibri" w:eastAsia="Calibri" w:hAnsi="Calibri" w:cs="Calibri"/>
          <w:color w:val="366091"/>
          <w:sz w:val="24"/>
          <w:szCs w:val="24"/>
        </w:rPr>
        <w:t>vention de partenariat ANACT-DG</w:t>
      </w:r>
      <w:r w:rsidR="00052173">
        <w:rPr>
          <w:rFonts w:ascii="Calibri" w:eastAsia="Calibri" w:hAnsi="Calibri" w:cs="Calibri"/>
          <w:color w:val="366091"/>
          <w:sz w:val="24"/>
          <w:szCs w:val="24"/>
        </w:rPr>
        <w:t>OS</w:t>
      </w:r>
    </w:p>
    <w:p w:rsidR="00003D35" w:rsidRDefault="00003D35"/>
    <w:p w:rsidR="00003D35" w:rsidRDefault="00052173">
      <w:pPr>
        <w:pStyle w:val="Titre"/>
        <w:pBdr>
          <w:bottom w:val="none" w:sz="0" w:space="0" w:color="000000"/>
        </w:pBdr>
        <w:spacing w:after="240"/>
        <w:jc w:val="center"/>
        <w:rPr>
          <w:rFonts w:ascii="Calibri" w:eastAsia="Calibri" w:hAnsi="Calibri" w:cs="Calibri"/>
          <w:b/>
          <w:i/>
          <w:color w:val="9BBB59"/>
          <w:sz w:val="28"/>
          <w:szCs w:val="28"/>
        </w:rPr>
      </w:pPr>
      <w:r>
        <w:rPr>
          <w:rFonts w:ascii="Calibri" w:eastAsia="Calibri" w:hAnsi="Calibri" w:cs="Calibri"/>
          <w:b/>
          <w:i/>
          <w:color w:val="9BBB59"/>
          <w:sz w:val="28"/>
          <w:szCs w:val="28"/>
        </w:rPr>
        <w:t xml:space="preserve">L’ARS Ile-de-France et l’ARACT Ile-de-France invitent les structures sanitaires et médico-sociales </w:t>
      </w:r>
      <w:r w:rsidRPr="003A6327">
        <w:rPr>
          <w:rFonts w:ascii="Calibri" w:eastAsia="Calibri" w:hAnsi="Calibri" w:cs="Calibri"/>
          <w:b/>
          <w:i/>
          <w:color w:val="9BBB59"/>
          <w:sz w:val="28"/>
          <w:szCs w:val="28"/>
        </w:rPr>
        <w:t>publiques et privées</w:t>
      </w:r>
      <w:r>
        <w:rPr>
          <w:rFonts w:ascii="Calibri" w:eastAsia="Calibri" w:hAnsi="Calibri" w:cs="Calibri"/>
          <w:b/>
          <w:i/>
          <w:color w:val="9BBB59"/>
          <w:sz w:val="28"/>
          <w:szCs w:val="28"/>
        </w:rPr>
        <w:t xml:space="preserve"> à intégrer une démarche collective relative </w:t>
      </w:r>
      <w:r w:rsidRPr="003A6327">
        <w:rPr>
          <w:rFonts w:ascii="Calibri" w:eastAsia="Calibri" w:hAnsi="Calibri" w:cs="Calibri"/>
          <w:b/>
          <w:i/>
          <w:color w:val="9BBB59"/>
          <w:sz w:val="28"/>
          <w:szCs w:val="28"/>
        </w:rPr>
        <w:t>à l’impact</w:t>
      </w:r>
      <w:r>
        <w:rPr>
          <w:rFonts w:ascii="Calibri" w:eastAsia="Calibri" w:hAnsi="Calibri" w:cs="Calibri"/>
          <w:b/>
          <w:i/>
          <w:color w:val="9BBB59"/>
          <w:sz w:val="28"/>
          <w:szCs w:val="28"/>
        </w:rPr>
        <w:t xml:space="preserve"> des technologies numériques sur la qualité de vie au travail </w:t>
      </w:r>
    </w:p>
    <w:p w:rsidR="00003D35" w:rsidRDefault="00003D35"/>
    <w:p w:rsidR="00003D35" w:rsidRDefault="00052173">
      <w:pPr>
        <w:pStyle w:val="Titre1"/>
        <w:numPr>
          <w:ilvl w:val="0"/>
          <w:numId w:val="3"/>
        </w:numPr>
        <w:spacing w:before="360"/>
        <w:rPr>
          <w:rFonts w:ascii="Calibri" w:eastAsia="Calibri" w:hAnsi="Calibri" w:cs="Calibri"/>
          <w:color w:val="366091"/>
          <w:sz w:val="24"/>
          <w:szCs w:val="24"/>
        </w:rPr>
      </w:pPr>
      <w:r>
        <w:rPr>
          <w:rFonts w:ascii="Calibri" w:eastAsia="Calibri" w:hAnsi="Calibri" w:cs="Calibri"/>
          <w:color w:val="366091"/>
          <w:sz w:val="24"/>
          <w:szCs w:val="24"/>
        </w:rPr>
        <w:t>Contexte et enjeux</w:t>
      </w:r>
    </w:p>
    <w:p w:rsidR="00003D35" w:rsidRDefault="00003D35"/>
    <w:p w:rsidR="00003D35" w:rsidRDefault="00052173">
      <w:pPr>
        <w:jc w:val="both"/>
        <w:rPr>
          <w:color w:val="002060"/>
        </w:rPr>
      </w:pPr>
      <w:r>
        <w:rPr>
          <w:color w:val="002060"/>
        </w:rPr>
        <w:t>Le numérique s’impose dans le système de santé comme un levier de sa modernisation pour gagner en efficience, améliorer les parcours de soin et soutenir les professionnels de santé dans leur travail au quotidien. Si les potentialités offertes par le numérique sont réelles, les transformations numériques viennent aussi bousculer l’organisation et les façons de travailler. Le contenu du travail, le rythme et les espaces de travail, les relations entre professionnels et avec les patients sont des dimensions qui évoluent du fait du numérique avec des effets positifs et négatifs en matière de qualité de vie au travail, de qualité du travail et qualité de prise en charge.</w:t>
      </w:r>
    </w:p>
    <w:p w:rsidR="00003D35" w:rsidRDefault="00052173">
      <w:pPr>
        <w:jc w:val="both"/>
        <w:rPr>
          <w:color w:val="002060"/>
        </w:rPr>
      </w:pPr>
      <w:r>
        <w:rPr>
          <w:color w:val="002060"/>
        </w:rPr>
        <w:t>Se pose alors la question des objectifs à donner à ces innovations, des façons de les construire et des processus et conditions méthodologiques, organisationnelles et politiques qui vont permettre de garantir leur mise en œuvre dans les meilleures conditions.</w:t>
      </w:r>
    </w:p>
    <w:p w:rsidR="00003D35" w:rsidRDefault="00052173">
      <w:pPr>
        <w:jc w:val="both"/>
        <w:rPr>
          <w:color w:val="002060"/>
        </w:rPr>
      </w:pPr>
      <w:r>
        <w:rPr>
          <w:color w:val="002060"/>
        </w:rPr>
        <w:t>Les systèmes numériques tendent en effet à rationaliser l’activité dans des cadres précis. Le risque est de considérer que c’est alors uniquement aux systèmes humains et organisationnels de s’adapter. Afin de réduire les tensions entre les bénéfices et les risques possibles du numérique, une réflexion doit s’engager dans chaque structure sur ce que l’on veut faire et sur les possibilités d’adapter au mieux le projet aux finalités visées.</w:t>
      </w:r>
    </w:p>
    <w:p w:rsidR="00003D35" w:rsidRDefault="00052173">
      <w:pPr>
        <w:jc w:val="both"/>
        <w:rPr>
          <w:color w:val="002060"/>
        </w:rPr>
      </w:pPr>
      <w:r>
        <w:rPr>
          <w:color w:val="002060"/>
        </w:rPr>
        <w:t>L’implantation réussie d’un nouveau système numérique dépend pour une grande part de la capacité des acteurs sociaux à relever le défi de la concertation pour tirer parti des meilleures facettes du numérique et conjurer un certain nombre de risques.</w:t>
      </w:r>
    </w:p>
    <w:p w:rsidR="00B17C18" w:rsidRDefault="00B17C18">
      <w:pPr>
        <w:jc w:val="both"/>
        <w:rPr>
          <w:color w:val="002060"/>
        </w:rPr>
      </w:pPr>
    </w:p>
    <w:p w:rsidR="00003D35" w:rsidRDefault="00052173">
      <w:pPr>
        <w:numPr>
          <w:ilvl w:val="0"/>
          <w:numId w:val="3"/>
        </w:numPr>
        <w:pBdr>
          <w:top w:val="nil"/>
          <w:left w:val="nil"/>
          <w:bottom w:val="nil"/>
          <w:right w:val="nil"/>
          <w:between w:val="nil"/>
        </w:pBdr>
        <w:jc w:val="both"/>
        <w:rPr>
          <w:b/>
          <w:color w:val="002060"/>
        </w:rPr>
      </w:pPr>
      <w:r>
        <w:rPr>
          <w:b/>
          <w:color w:val="002060"/>
        </w:rPr>
        <w:lastRenderedPageBreak/>
        <w:t>Objectifs</w:t>
      </w:r>
    </w:p>
    <w:p w:rsidR="00003D35" w:rsidRDefault="00052173">
      <w:pPr>
        <w:jc w:val="both"/>
        <w:rPr>
          <w:color w:val="002060"/>
        </w:rPr>
      </w:pPr>
      <w:r>
        <w:rPr>
          <w:color w:val="002060"/>
        </w:rPr>
        <w:t>Cette réflexion prend appui sur les orientations définies par le Ministère des Solidarités et de la Santé pour accélérer le virage numérique dans le cadre du plan « Ma santé 2022 » ainsi que les enseignements tirés de la concertation du « Ségur de la Santé 2020 ».</w:t>
      </w:r>
    </w:p>
    <w:p w:rsidR="00003D35" w:rsidRDefault="00052173">
      <w:pPr>
        <w:jc w:val="both"/>
        <w:rPr>
          <w:color w:val="002060"/>
        </w:rPr>
      </w:pPr>
      <w:r>
        <w:rPr>
          <w:color w:val="002060"/>
        </w:rPr>
        <w:t>L’enjeu est double :</w:t>
      </w:r>
    </w:p>
    <w:p w:rsidR="00003D35" w:rsidRDefault="00052173">
      <w:pPr>
        <w:numPr>
          <w:ilvl w:val="0"/>
          <w:numId w:val="4"/>
        </w:numPr>
        <w:pBdr>
          <w:top w:val="nil"/>
          <w:left w:val="nil"/>
          <w:bottom w:val="nil"/>
          <w:right w:val="nil"/>
          <w:between w:val="nil"/>
        </w:pBdr>
        <w:spacing w:after="0"/>
        <w:jc w:val="both"/>
        <w:rPr>
          <w:color w:val="002060"/>
        </w:rPr>
      </w:pPr>
      <w:r>
        <w:rPr>
          <w:color w:val="002060"/>
        </w:rPr>
        <w:t xml:space="preserve">Mieux appréhender les impacts des transformations numériques sur le travail des professionnels dans les établissements/structures de santé et médico-sociaux, les groupements ou les territoires pour développer des connaissances et des capacités d’action dans le cadre de ces </w:t>
      </w:r>
      <w:r w:rsidR="00B17C18">
        <w:rPr>
          <w:color w:val="002060"/>
        </w:rPr>
        <w:t>transformations ;</w:t>
      </w:r>
    </w:p>
    <w:p w:rsidR="00003D35" w:rsidRDefault="00052173">
      <w:pPr>
        <w:numPr>
          <w:ilvl w:val="0"/>
          <w:numId w:val="4"/>
        </w:numPr>
        <w:pBdr>
          <w:top w:val="nil"/>
          <w:left w:val="nil"/>
          <w:bottom w:val="nil"/>
          <w:right w:val="nil"/>
          <w:between w:val="nil"/>
        </w:pBdr>
        <w:jc w:val="both"/>
        <w:rPr>
          <w:color w:val="002060"/>
        </w:rPr>
      </w:pPr>
      <w:r>
        <w:rPr>
          <w:color w:val="002060"/>
        </w:rPr>
        <w:t>Mieux inscrire les enjeux de qualité du travail, des conditions de travail et du dialogue social dans les projets de transformation numérique, dans un contexte de développement de la e-santé.</w:t>
      </w:r>
    </w:p>
    <w:p w:rsidR="00003D35" w:rsidRDefault="00003D35">
      <w:pPr>
        <w:jc w:val="both"/>
        <w:rPr>
          <w:color w:val="002060"/>
        </w:rPr>
      </w:pPr>
    </w:p>
    <w:p w:rsidR="00003D35" w:rsidRDefault="00052173">
      <w:pPr>
        <w:numPr>
          <w:ilvl w:val="0"/>
          <w:numId w:val="3"/>
        </w:numPr>
        <w:pBdr>
          <w:top w:val="nil"/>
          <w:left w:val="nil"/>
          <w:bottom w:val="nil"/>
          <w:right w:val="nil"/>
          <w:between w:val="nil"/>
        </w:pBdr>
        <w:jc w:val="both"/>
        <w:rPr>
          <w:b/>
          <w:color w:val="002060"/>
        </w:rPr>
      </w:pPr>
      <w:r>
        <w:rPr>
          <w:b/>
          <w:color w:val="002060"/>
        </w:rPr>
        <w:t xml:space="preserve">Cadre de l’appel à projet </w:t>
      </w:r>
    </w:p>
    <w:p w:rsidR="00003D35" w:rsidRDefault="00052173">
      <w:pPr>
        <w:jc w:val="both"/>
        <w:rPr>
          <w:color w:val="002060"/>
        </w:rPr>
      </w:pPr>
      <w:r>
        <w:rPr>
          <w:color w:val="002060"/>
        </w:rPr>
        <w:t>De façon à déployer ces ACIA dans les régions, la DGOS et l’ANACT ont défini une procédure d’appels à projets qui se décline en deux phases :</w:t>
      </w:r>
    </w:p>
    <w:p w:rsidR="00003D35" w:rsidRDefault="00052173">
      <w:pPr>
        <w:numPr>
          <w:ilvl w:val="0"/>
          <w:numId w:val="5"/>
        </w:numPr>
        <w:pBdr>
          <w:top w:val="nil"/>
          <w:left w:val="nil"/>
          <w:bottom w:val="nil"/>
          <w:right w:val="nil"/>
          <w:between w:val="nil"/>
        </w:pBdr>
        <w:spacing w:after="0"/>
        <w:jc w:val="both"/>
        <w:rPr>
          <w:color w:val="002060"/>
        </w:rPr>
      </w:pPr>
      <w:r>
        <w:rPr>
          <w:b/>
          <w:color w:val="002060"/>
        </w:rPr>
        <w:t xml:space="preserve">Phase </w:t>
      </w:r>
      <w:r w:rsidR="00B17C18">
        <w:rPr>
          <w:b/>
          <w:color w:val="002060"/>
        </w:rPr>
        <w:t>exploratoire -</w:t>
      </w:r>
      <w:r>
        <w:rPr>
          <w:b/>
          <w:color w:val="002060"/>
        </w:rPr>
        <w:t xml:space="preserve"> Janvier à Septembre 2022 </w:t>
      </w:r>
      <w:r>
        <w:rPr>
          <w:color w:val="002060"/>
        </w:rPr>
        <w:t>: le lancement d’un premier appel à projets en 2021 à destination des ARS en lien avec l’ARACT de leur région pour mobiliser quelques établissements, groupements ou territoires qui souhaitent participer à explorer et approfondir les impacts du numérique sur les organisations et les conditions de travail des professionnels du champ de la santé et du médico-social</w:t>
      </w:r>
    </w:p>
    <w:p w:rsidR="00003D35" w:rsidRDefault="00052173">
      <w:pPr>
        <w:numPr>
          <w:ilvl w:val="0"/>
          <w:numId w:val="5"/>
        </w:numPr>
        <w:pBdr>
          <w:top w:val="nil"/>
          <w:left w:val="nil"/>
          <w:bottom w:val="nil"/>
          <w:right w:val="nil"/>
          <w:between w:val="nil"/>
        </w:pBdr>
        <w:jc w:val="both"/>
        <w:rPr>
          <w:color w:val="002060"/>
        </w:rPr>
      </w:pPr>
      <w:r>
        <w:rPr>
          <w:b/>
          <w:color w:val="002060"/>
        </w:rPr>
        <w:t xml:space="preserve">Phase expérimentale </w:t>
      </w:r>
      <w:r>
        <w:rPr>
          <w:color w:val="002060"/>
        </w:rPr>
        <w:t xml:space="preserve">le lancement d’un second appel à projets en 2022 à destination des ARS en lien avec l’ARACT de leur région pour mobiliser quelques établissements, groupements ou territoires qui souhaitent participer à la mise en œuvre d’actions expérimentales visant à répondre à leurs enjeux et préoccupations vis-à-vis des transformations numériques et de la QVT </w:t>
      </w:r>
    </w:p>
    <w:p w:rsidR="003A6327" w:rsidRDefault="003A6327">
      <w:pPr>
        <w:jc w:val="both"/>
        <w:rPr>
          <w:color w:val="002060"/>
        </w:rPr>
      </w:pPr>
      <w:bookmarkStart w:id="1" w:name="_heading=h.gjdgxs" w:colFirst="0" w:colLast="0"/>
      <w:bookmarkEnd w:id="1"/>
    </w:p>
    <w:p w:rsidR="00003D35" w:rsidRDefault="00052173">
      <w:pPr>
        <w:jc w:val="both"/>
        <w:rPr>
          <w:color w:val="002060"/>
        </w:rPr>
      </w:pPr>
      <w:r w:rsidRPr="003A6327">
        <w:rPr>
          <w:color w:val="002060"/>
        </w:rPr>
        <w:t>Une ACIA (action collective innovante et apprenante) rassemble des collectifs de 4 à 8 structures pour faire se rencontrer différents profils d’acteurs. Elle s’appuie sur des méthodes participatives de co-construction avec l’objectif d’équiper le dialogue social et professionnel par la compréhension du travail de terrain. Ceci va permettre de faciliter la concertation sur les transformations numériques du travail et développer des apprentissages, en articulant réflexion collective et expérimentation pour développer de nouvelles façons d’agir.</w:t>
      </w:r>
    </w:p>
    <w:p w:rsidR="00003D35" w:rsidRDefault="00052173">
      <w:pPr>
        <w:jc w:val="both"/>
        <w:rPr>
          <w:color w:val="002060"/>
        </w:rPr>
      </w:pPr>
      <w:r>
        <w:rPr>
          <w:b/>
          <w:color w:val="002060"/>
        </w:rPr>
        <w:lastRenderedPageBreak/>
        <w:t xml:space="preserve">Le présent </w:t>
      </w:r>
      <w:r w:rsidRPr="003A6327">
        <w:rPr>
          <w:b/>
          <w:color w:val="002060"/>
        </w:rPr>
        <w:t xml:space="preserve">appel à manifestation d’intérêt </w:t>
      </w:r>
      <w:r>
        <w:rPr>
          <w:b/>
          <w:color w:val="002060"/>
        </w:rPr>
        <w:t xml:space="preserve">s’inscrit donc dans le cadre de la phase </w:t>
      </w:r>
      <w:r w:rsidR="00B17C18">
        <w:rPr>
          <w:b/>
          <w:color w:val="002060"/>
        </w:rPr>
        <w:t>exploratoire</w:t>
      </w:r>
      <w:r w:rsidR="00B17C18">
        <w:rPr>
          <w:color w:val="002060"/>
        </w:rPr>
        <w:t xml:space="preserve"> et</w:t>
      </w:r>
      <w:r>
        <w:rPr>
          <w:color w:val="002060"/>
        </w:rPr>
        <w:t xml:space="preserve"> vise à déposer auprès de la DGOS et de l’ANACT une proposition d’action collective innovante et apprenante en constituant un groupe </w:t>
      </w:r>
      <w:r w:rsidR="007072B1" w:rsidRPr="003A6327">
        <w:rPr>
          <w:color w:val="002060"/>
        </w:rPr>
        <w:t xml:space="preserve">de </w:t>
      </w:r>
      <w:r w:rsidRPr="003A6327">
        <w:rPr>
          <w:color w:val="002060"/>
        </w:rPr>
        <w:t>structures</w:t>
      </w:r>
      <w:r>
        <w:rPr>
          <w:color w:val="002060"/>
        </w:rPr>
        <w:t xml:space="preserve"> volontaires qui s’engageront à faciliter et contribuer à une démarche d’exploration relative aux transformations numériques et à la qualité de vie au travail.</w:t>
      </w:r>
    </w:p>
    <w:p w:rsidR="00003D35" w:rsidRDefault="00052173">
      <w:pPr>
        <w:numPr>
          <w:ilvl w:val="0"/>
          <w:numId w:val="3"/>
        </w:numPr>
        <w:pBdr>
          <w:top w:val="nil"/>
          <w:left w:val="nil"/>
          <w:bottom w:val="nil"/>
          <w:right w:val="nil"/>
          <w:between w:val="nil"/>
        </w:pBdr>
        <w:jc w:val="both"/>
        <w:rPr>
          <w:b/>
          <w:color w:val="002060"/>
        </w:rPr>
      </w:pPr>
      <w:r>
        <w:rPr>
          <w:b/>
          <w:color w:val="002060"/>
        </w:rPr>
        <w:t>Thématiques, projets et sujets à explorer pour participer à l’appel à projets</w:t>
      </w:r>
    </w:p>
    <w:p w:rsidR="00003D35" w:rsidRDefault="00052173">
      <w:pPr>
        <w:jc w:val="both"/>
        <w:rPr>
          <w:color w:val="002060"/>
        </w:rPr>
      </w:pPr>
      <w:r>
        <w:rPr>
          <w:color w:val="002060"/>
        </w:rPr>
        <w:t>Les projets à explorer dans le cadre de cet appel à projet pourront toucher à la e-santé de manière générale : télésanté, télémédecine, M Santé, logiciels métiers, DMP, etc… Il s’agira de cibler des sujets pour lesquels des questions, en matière de conditions de travail, de performance ou de conduite du changement se posent pour les acteurs participants au projet.</w:t>
      </w:r>
    </w:p>
    <w:p w:rsidR="00003D35" w:rsidRDefault="00052173">
      <w:pPr>
        <w:jc w:val="both"/>
        <w:rPr>
          <w:color w:val="002060"/>
        </w:rPr>
      </w:pPr>
      <w:r>
        <w:rPr>
          <w:color w:val="002060"/>
        </w:rPr>
        <w:t>Trois dimensions seront questionnées :</w:t>
      </w:r>
    </w:p>
    <w:p w:rsidR="00003D35" w:rsidRDefault="00052173">
      <w:pPr>
        <w:numPr>
          <w:ilvl w:val="0"/>
          <w:numId w:val="4"/>
        </w:numPr>
        <w:pBdr>
          <w:top w:val="nil"/>
          <w:left w:val="nil"/>
          <w:bottom w:val="nil"/>
          <w:right w:val="nil"/>
          <w:between w:val="nil"/>
        </w:pBdr>
        <w:spacing w:after="0"/>
        <w:jc w:val="both"/>
        <w:rPr>
          <w:color w:val="002060"/>
        </w:rPr>
      </w:pPr>
      <w:r>
        <w:rPr>
          <w:color w:val="002060"/>
        </w:rPr>
        <w:t>Les usages en situation de travail des technologies</w:t>
      </w:r>
    </w:p>
    <w:p w:rsidR="00003D35" w:rsidRDefault="00052173">
      <w:pPr>
        <w:numPr>
          <w:ilvl w:val="0"/>
          <w:numId w:val="4"/>
        </w:numPr>
        <w:pBdr>
          <w:top w:val="nil"/>
          <w:left w:val="nil"/>
          <w:bottom w:val="nil"/>
          <w:right w:val="nil"/>
          <w:between w:val="nil"/>
        </w:pBdr>
        <w:spacing w:after="0"/>
        <w:jc w:val="both"/>
        <w:rPr>
          <w:color w:val="002060"/>
        </w:rPr>
      </w:pPr>
      <w:r>
        <w:rPr>
          <w:color w:val="002060"/>
        </w:rPr>
        <w:t>Leurs impacts sur les conditions de travail et la performance</w:t>
      </w:r>
    </w:p>
    <w:p w:rsidR="00003D35" w:rsidRDefault="00052173">
      <w:pPr>
        <w:numPr>
          <w:ilvl w:val="0"/>
          <w:numId w:val="4"/>
        </w:numPr>
        <w:pBdr>
          <w:top w:val="nil"/>
          <w:left w:val="nil"/>
          <w:bottom w:val="nil"/>
          <w:right w:val="nil"/>
          <w:between w:val="nil"/>
        </w:pBdr>
        <w:jc w:val="both"/>
        <w:rPr>
          <w:color w:val="002060"/>
        </w:rPr>
      </w:pPr>
      <w:r>
        <w:rPr>
          <w:color w:val="002060"/>
        </w:rPr>
        <w:t>Les modalités de gestion de la transformation : place des professionnels, mise en débat avec les représentants du personnel</w:t>
      </w:r>
    </w:p>
    <w:p w:rsidR="00003D35" w:rsidRPr="003A6327" w:rsidRDefault="00052173">
      <w:pPr>
        <w:jc w:val="both"/>
        <w:rPr>
          <w:color w:val="002060"/>
        </w:rPr>
      </w:pPr>
      <w:r w:rsidRPr="003A6327">
        <w:rPr>
          <w:color w:val="002060"/>
        </w:rPr>
        <w:t>Les projets présentés peuvent être en cours de réflexion, de déploiement ou finalisés.</w:t>
      </w:r>
    </w:p>
    <w:p w:rsidR="00003D35" w:rsidRPr="003A6327" w:rsidRDefault="00052173">
      <w:pPr>
        <w:jc w:val="both"/>
        <w:rPr>
          <w:color w:val="002060"/>
        </w:rPr>
      </w:pPr>
      <w:r w:rsidRPr="003A6327">
        <w:rPr>
          <w:color w:val="002060"/>
        </w:rPr>
        <w:t xml:space="preserve">En fonction des projets retenus, </w:t>
      </w:r>
      <w:r w:rsidR="00B17C18" w:rsidRPr="003A6327">
        <w:rPr>
          <w:color w:val="002060"/>
        </w:rPr>
        <w:t>différents types</w:t>
      </w:r>
      <w:r w:rsidRPr="003A6327">
        <w:rPr>
          <w:color w:val="002060"/>
        </w:rPr>
        <w:t xml:space="preserve"> d’ACIA peuvent être constituées :</w:t>
      </w:r>
    </w:p>
    <w:p w:rsidR="00003D35" w:rsidRPr="003A6327" w:rsidRDefault="00052173">
      <w:pPr>
        <w:numPr>
          <w:ilvl w:val="0"/>
          <w:numId w:val="1"/>
        </w:numPr>
        <w:pBdr>
          <w:top w:val="nil"/>
          <w:left w:val="nil"/>
          <w:bottom w:val="nil"/>
          <w:right w:val="nil"/>
          <w:between w:val="nil"/>
        </w:pBdr>
        <w:spacing w:after="0"/>
        <w:jc w:val="both"/>
        <w:rPr>
          <w:color w:val="002060"/>
        </w:rPr>
      </w:pPr>
      <w:r w:rsidRPr="003A6327">
        <w:rPr>
          <w:color w:val="002060"/>
        </w:rPr>
        <w:t>ACIA MIXTE : ACIA qui regroupe des structures différentes sur des projets différents</w:t>
      </w:r>
    </w:p>
    <w:p w:rsidR="00003D35" w:rsidRPr="003A6327" w:rsidRDefault="00052173">
      <w:pPr>
        <w:numPr>
          <w:ilvl w:val="0"/>
          <w:numId w:val="1"/>
        </w:numPr>
        <w:pBdr>
          <w:top w:val="nil"/>
          <w:left w:val="nil"/>
          <w:bottom w:val="nil"/>
          <w:right w:val="nil"/>
          <w:between w:val="nil"/>
        </w:pBdr>
        <w:spacing w:after="0"/>
        <w:jc w:val="both"/>
        <w:rPr>
          <w:color w:val="002060"/>
        </w:rPr>
      </w:pPr>
      <w:r w:rsidRPr="003A6327">
        <w:rPr>
          <w:color w:val="002060"/>
        </w:rPr>
        <w:t>ACIA OBJET : ACIA qui regroupe des structures différentes rassemblées autour du même objet (Ex : Téléconsultation, médiation numérique)</w:t>
      </w:r>
    </w:p>
    <w:p w:rsidR="00003D35" w:rsidRPr="003A6327" w:rsidRDefault="00052173">
      <w:pPr>
        <w:numPr>
          <w:ilvl w:val="0"/>
          <w:numId w:val="1"/>
        </w:numPr>
        <w:pBdr>
          <w:top w:val="nil"/>
          <w:left w:val="nil"/>
          <w:bottom w:val="nil"/>
          <w:right w:val="nil"/>
          <w:between w:val="nil"/>
        </w:pBdr>
        <w:spacing w:after="0"/>
        <w:jc w:val="both"/>
        <w:rPr>
          <w:color w:val="002060"/>
        </w:rPr>
      </w:pPr>
      <w:r w:rsidRPr="003A6327">
        <w:rPr>
          <w:color w:val="002060"/>
        </w:rPr>
        <w:t>ACIA PROJET : ACIA qui réunit un collectif de structures rassemblées autour du même projet (Ex : un projet de plateforme de coordination de soin commun à différentes structures du territoire)</w:t>
      </w:r>
    </w:p>
    <w:p w:rsidR="00003D35" w:rsidRPr="003A6327" w:rsidRDefault="00052173">
      <w:pPr>
        <w:numPr>
          <w:ilvl w:val="0"/>
          <w:numId w:val="1"/>
        </w:numPr>
        <w:pBdr>
          <w:top w:val="nil"/>
          <w:left w:val="nil"/>
          <w:bottom w:val="nil"/>
          <w:right w:val="nil"/>
          <w:between w:val="nil"/>
        </w:pBdr>
        <w:jc w:val="both"/>
        <w:rPr>
          <w:color w:val="002060"/>
        </w:rPr>
      </w:pPr>
      <w:r w:rsidRPr="003A6327">
        <w:rPr>
          <w:color w:val="002060"/>
        </w:rPr>
        <w:t xml:space="preserve">ACIA MÉTIER : </w:t>
      </w:r>
      <w:r w:rsidR="00B17C18" w:rsidRPr="003A6327">
        <w:rPr>
          <w:color w:val="002060"/>
        </w:rPr>
        <w:t>ACIA qui</w:t>
      </w:r>
      <w:r w:rsidRPr="003A6327">
        <w:rPr>
          <w:color w:val="002060"/>
        </w:rPr>
        <w:t xml:space="preserve"> regroupe plusieurs structures qui s’interrogent sur les évolutions du travail pour certains métiers en particulier (Ex : Secrétaire médical)</w:t>
      </w:r>
    </w:p>
    <w:p w:rsidR="00003D35" w:rsidRPr="0082192A" w:rsidRDefault="00052173">
      <w:pPr>
        <w:jc w:val="both"/>
        <w:rPr>
          <w:color w:val="002060"/>
        </w:rPr>
      </w:pPr>
      <w:r>
        <w:rPr>
          <w:color w:val="002060"/>
        </w:rPr>
        <w:t xml:space="preserve">Ce présent appel à projet vise donc la constitution d’ACIA régionales (Actions Collectives Innovantes et Apprenantes) avec des structures volontaires publiques </w:t>
      </w:r>
      <w:r w:rsidRPr="003A6327">
        <w:rPr>
          <w:color w:val="002060"/>
        </w:rPr>
        <w:t>ou privées</w:t>
      </w:r>
      <w:r>
        <w:rPr>
          <w:color w:val="002060"/>
        </w:rPr>
        <w:t xml:space="preserve">, et dans le cadre d’une réflexion pluri-professionnelle </w:t>
      </w:r>
      <w:r w:rsidRPr="0082192A">
        <w:rPr>
          <w:color w:val="002060"/>
        </w:rPr>
        <w:t>et paritaire.</w:t>
      </w:r>
    </w:p>
    <w:p w:rsidR="00003D35" w:rsidRDefault="00052173">
      <w:pPr>
        <w:jc w:val="both"/>
        <w:rPr>
          <w:color w:val="002060"/>
        </w:rPr>
      </w:pPr>
      <w:r>
        <w:rPr>
          <w:color w:val="002060"/>
        </w:rPr>
        <w:t>L’objectif de cette démarche sera d’explorer les usages de ces technologies en situation de travail, leurs impacts sur la qualité de vie au travail et les processus de transformation dans les secteurs sanitaire et médico-social pour produire des éléments de capitalisation croisés entre différents acteurs parties prenantes de la transformation numérique : directions d’établissement dont DSI, partenaires sociaux, porteurs de projets, opérateurs techniques…</w:t>
      </w:r>
    </w:p>
    <w:p w:rsidR="00003D35" w:rsidRDefault="00052173">
      <w:pPr>
        <w:jc w:val="both"/>
        <w:rPr>
          <w:color w:val="1F497D"/>
        </w:rPr>
      </w:pPr>
      <w:r>
        <w:rPr>
          <w:color w:val="1F497D"/>
        </w:rPr>
        <w:lastRenderedPageBreak/>
        <w:t xml:space="preserve">A ce propos, il convient de souligner que l’implication des représentants du personnel est une des conditions essentielles du déploiement des démarches de qualité de vie au travail, c’est pourquoi le fonctionnement en ACIA exige l’implication du CHSCT (ou CSE) ou des autres instances représentatives du personnel (par exemple CME). La démarche a comme ambition d’accompagner l’évolution des modalités de fonctionnement des instances représentatives du personnel en plaçant la qualité de vie au travail en tant que composante essentielle des projets et des réorganisations. </w:t>
      </w:r>
    </w:p>
    <w:p w:rsidR="00003D35" w:rsidRDefault="00003D35"/>
    <w:p w:rsidR="00003D35" w:rsidRDefault="00052173">
      <w:pPr>
        <w:numPr>
          <w:ilvl w:val="0"/>
          <w:numId w:val="3"/>
        </w:numPr>
        <w:pBdr>
          <w:top w:val="nil"/>
          <w:left w:val="nil"/>
          <w:bottom w:val="nil"/>
          <w:right w:val="nil"/>
          <w:between w:val="nil"/>
        </w:pBdr>
        <w:rPr>
          <w:b/>
          <w:color w:val="1F497D"/>
        </w:rPr>
      </w:pPr>
      <w:r>
        <w:rPr>
          <w:b/>
          <w:color w:val="1F497D"/>
        </w:rPr>
        <w:t>Modalités d’accompagnement de la démarche</w:t>
      </w:r>
    </w:p>
    <w:p w:rsidR="00003D35" w:rsidRDefault="00052173">
      <w:pPr>
        <w:rPr>
          <w:color w:val="1F497D"/>
        </w:rPr>
      </w:pPr>
      <w:r>
        <w:rPr>
          <w:color w:val="1F497D"/>
        </w:rPr>
        <w:t xml:space="preserve">L’accompagnement de </w:t>
      </w:r>
      <w:r w:rsidRPr="003A6327">
        <w:rPr>
          <w:color w:val="1F497D"/>
        </w:rPr>
        <w:t>l’ARACT</w:t>
      </w:r>
      <w:r w:rsidR="0073540C" w:rsidRPr="0073540C">
        <w:rPr>
          <w:color w:val="1F497D"/>
        </w:rPr>
        <w:t xml:space="preserve">- </w:t>
      </w:r>
      <w:r w:rsidRPr="0073540C">
        <w:rPr>
          <w:color w:val="1F497D"/>
        </w:rPr>
        <w:t>I</w:t>
      </w:r>
      <w:r w:rsidRPr="003A6327">
        <w:rPr>
          <w:color w:val="1F497D"/>
        </w:rPr>
        <w:t>le-de-France</w:t>
      </w:r>
      <w:r>
        <w:rPr>
          <w:color w:val="1F497D"/>
        </w:rPr>
        <w:t xml:space="preserve"> portera sur :</w:t>
      </w:r>
    </w:p>
    <w:p w:rsidR="00003D35" w:rsidRDefault="00052173">
      <w:pPr>
        <w:numPr>
          <w:ilvl w:val="0"/>
          <w:numId w:val="4"/>
        </w:numPr>
        <w:pBdr>
          <w:top w:val="nil"/>
          <w:left w:val="nil"/>
          <w:bottom w:val="nil"/>
          <w:right w:val="nil"/>
          <w:between w:val="nil"/>
        </w:pBdr>
        <w:spacing w:after="0"/>
        <w:jc w:val="both"/>
        <w:rPr>
          <w:color w:val="1F497D"/>
        </w:rPr>
      </w:pPr>
      <w:r>
        <w:rPr>
          <w:color w:val="1F497D"/>
        </w:rPr>
        <w:t xml:space="preserve">Le ciblage des sujets (thèmes, projets, dispositifs) et des terrains à l’échelle </w:t>
      </w:r>
      <w:r w:rsidRPr="0073540C">
        <w:rPr>
          <w:color w:val="1F497D"/>
        </w:rPr>
        <w:t xml:space="preserve">des structures </w:t>
      </w:r>
      <w:r>
        <w:rPr>
          <w:color w:val="1F497D"/>
        </w:rPr>
        <w:t>et des territoires pour enquêter (mieux comprendre les implications individuelles, collectives et organisationnelles de certaines technologies au regard de la façon dont elles sont conçues, concertées et déployées);</w:t>
      </w:r>
    </w:p>
    <w:p w:rsidR="00003D35" w:rsidRDefault="00052173">
      <w:pPr>
        <w:numPr>
          <w:ilvl w:val="0"/>
          <w:numId w:val="4"/>
        </w:numPr>
        <w:pBdr>
          <w:top w:val="nil"/>
          <w:left w:val="nil"/>
          <w:bottom w:val="nil"/>
          <w:right w:val="nil"/>
          <w:between w:val="nil"/>
        </w:pBdr>
        <w:spacing w:after="0"/>
        <w:jc w:val="both"/>
        <w:rPr>
          <w:color w:val="1F497D"/>
        </w:rPr>
      </w:pPr>
      <w:r>
        <w:rPr>
          <w:color w:val="1F497D"/>
        </w:rPr>
        <w:t xml:space="preserve">La réalisation d’enquêtes sur les terrains sélectionnés via des recueils et analyses de données et de documents, des entretiens individuels et/ou collectifs et des observations du travail </w:t>
      </w:r>
      <w:r w:rsidRPr="0073540C">
        <w:rPr>
          <w:color w:val="1F497D"/>
        </w:rPr>
        <w:t xml:space="preserve">donnant lieu à un état des lieux par </w:t>
      </w:r>
      <w:r w:rsidR="00B17C18" w:rsidRPr="0073540C">
        <w:rPr>
          <w:color w:val="1F497D"/>
        </w:rPr>
        <w:t>structure</w:t>
      </w:r>
      <w:r w:rsidR="00B17C18">
        <w:rPr>
          <w:color w:val="1F497D"/>
        </w:rPr>
        <w:t xml:space="preserve"> ;</w:t>
      </w:r>
    </w:p>
    <w:p w:rsidR="00003D35" w:rsidRDefault="00052173">
      <w:pPr>
        <w:numPr>
          <w:ilvl w:val="0"/>
          <w:numId w:val="4"/>
        </w:numPr>
        <w:pBdr>
          <w:top w:val="nil"/>
          <w:left w:val="nil"/>
          <w:bottom w:val="nil"/>
          <w:right w:val="nil"/>
          <w:between w:val="nil"/>
        </w:pBdr>
        <w:spacing w:after="0"/>
        <w:jc w:val="both"/>
        <w:rPr>
          <w:color w:val="1F497D"/>
        </w:rPr>
      </w:pPr>
      <w:r>
        <w:rPr>
          <w:color w:val="1F497D"/>
        </w:rPr>
        <w:t>La constitution d’un collectif élargi regroupant des représentants des différentes structures mobilisés (professionnels de santé, représentants du personnel, des directions, acteurs supports SI, RH…</w:t>
      </w:r>
      <w:r w:rsidR="00B17C18">
        <w:rPr>
          <w:color w:val="1F497D"/>
        </w:rPr>
        <w:t>) ;</w:t>
      </w:r>
    </w:p>
    <w:p w:rsidR="00003D35" w:rsidRDefault="00052173">
      <w:pPr>
        <w:numPr>
          <w:ilvl w:val="0"/>
          <w:numId w:val="4"/>
        </w:numPr>
        <w:pBdr>
          <w:top w:val="nil"/>
          <w:left w:val="nil"/>
          <w:bottom w:val="nil"/>
          <w:right w:val="nil"/>
          <w:between w:val="nil"/>
        </w:pBdr>
        <w:jc w:val="both"/>
        <w:rPr>
          <w:color w:val="1F497D"/>
        </w:rPr>
      </w:pPr>
      <w:r w:rsidRPr="0073540C">
        <w:rPr>
          <w:color w:val="1F497D"/>
        </w:rPr>
        <w:t xml:space="preserve">La contribution à la mise </w:t>
      </w:r>
      <w:r>
        <w:rPr>
          <w:color w:val="1F497D"/>
        </w:rPr>
        <w:t>en débat des productions, identifier des perspectives de progrès et formuler des propositions au niveau régional.</w:t>
      </w:r>
    </w:p>
    <w:p w:rsidR="00003D35" w:rsidRDefault="00003D35">
      <w:pPr>
        <w:jc w:val="both"/>
        <w:rPr>
          <w:color w:val="1F497D"/>
        </w:rPr>
      </w:pPr>
    </w:p>
    <w:p w:rsidR="00003D35" w:rsidRPr="0082192A" w:rsidRDefault="00052173">
      <w:pPr>
        <w:numPr>
          <w:ilvl w:val="0"/>
          <w:numId w:val="3"/>
        </w:numPr>
        <w:rPr>
          <w:b/>
          <w:color w:val="1F497D"/>
        </w:rPr>
      </w:pPr>
      <w:r w:rsidRPr="0082192A">
        <w:rPr>
          <w:b/>
          <w:color w:val="1F497D"/>
        </w:rPr>
        <w:t>Quels intérêts pour les structures du projet “Exploration” ?</w:t>
      </w:r>
    </w:p>
    <w:p w:rsidR="00003D35" w:rsidRPr="0082192A" w:rsidRDefault="00052173">
      <w:pPr>
        <w:numPr>
          <w:ilvl w:val="0"/>
          <w:numId w:val="2"/>
        </w:numPr>
        <w:spacing w:after="0"/>
        <w:jc w:val="both"/>
        <w:rPr>
          <w:color w:val="1F497D"/>
        </w:rPr>
      </w:pPr>
      <w:r w:rsidRPr="0082192A">
        <w:rPr>
          <w:color w:val="1F497D"/>
        </w:rPr>
        <w:t>Avoir des regards d’experts sur son projet numérique (Aract et écosystème régional)</w:t>
      </w:r>
    </w:p>
    <w:p w:rsidR="00003D35" w:rsidRPr="0082192A" w:rsidRDefault="00B17C18">
      <w:pPr>
        <w:numPr>
          <w:ilvl w:val="1"/>
          <w:numId w:val="2"/>
        </w:numPr>
        <w:spacing w:after="0"/>
        <w:jc w:val="both"/>
        <w:rPr>
          <w:color w:val="1F497D"/>
        </w:rPr>
      </w:pPr>
      <w:r w:rsidRPr="0082192A">
        <w:rPr>
          <w:color w:val="1F497D"/>
        </w:rPr>
        <w:t>En</w:t>
      </w:r>
      <w:r w:rsidR="00052173" w:rsidRPr="0082192A">
        <w:rPr>
          <w:color w:val="1F497D"/>
        </w:rPr>
        <w:t xml:space="preserve"> phase pré-projet : enrichissement de l’étude de faisabilité</w:t>
      </w:r>
    </w:p>
    <w:p w:rsidR="00003D35" w:rsidRPr="0082192A" w:rsidRDefault="00B17C18">
      <w:pPr>
        <w:numPr>
          <w:ilvl w:val="1"/>
          <w:numId w:val="2"/>
        </w:numPr>
        <w:spacing w:after="0"/>
        <w:jc w:val="both"/>
        <w:rPr>
          <w:color w:val="1F497D"/>
        </w:rPr>
      </w:pPr>
      <w:r w:rsidRPr="0082192A">
        <w:rPr>
          <w:color w:val="1F497D"/>
        </w:rPr>
        <w:t>Ajustement</w:t>
      </w:r>
      <w:r w:rsidR="00052173" w:rsidRPr="0082192A">
        <w:rPr>
          <w:color w:val="1F497D"/>
        </w:rPr>
        <w:t xml:space="preserve"> d’un projet en cours</w:t>
      </w:r>
    </w:p>
    <w:p w:rsidR="00003D35" w:rsidRPr="0082192A" w:rsidRDefault="00B17C18">
      <w:pPr>
        <w:numPr>
          <w:ilvl w:val="1"/>
          <w:numId w:val="2"/>
        </w:numPr>
        <w:spacing w:after="0"/>
        <w:jc w:val="both"/>
        <w:rPr>
          <w:color w:val="1F497D"/>
        </w:rPr>
      </w:pPr>
      <w:r w:rsidRPr="0082192A">
        <w:rPr>
          <w:color w:val="1F497D"/>
        </w:rPr>
        <w:t>Identifier</w:t>
      </w:r>
      <w:r w:rsidR="00052173" w:rsidRPr="0082192A">
        <w:rPr>
          <w:color w:val="1F497D"/>
        </w:rPr>
        <w:t xml:space="preserve"> des axes de progrès/appui à l’évaluation d’un projet finalisé</w:t>
      </w:r>
    </w:p>
    <w:p w:rsidR="00003D35" w:rsidRPr="0082192A" w:rsidRDefault="00052173">
      <w:pPr>
        <w:numPr>
          <w:ilvl w:val="0"/>
          <w:numId w:val="2"/>
        </w:numPr>
        <w:spacing w:after="0"/>
        <w:jc w:val="both"/>
        <w:rPr>
          <w:color w:val="1F497D"/>
        </w:rPr>
      </w:pPr>
      <w:r w:rsidRPr="0082192A">
        <w:rPr>
          <w:color w:val="1F497D"/>
        </w:rPr>
        <w:t>Faire le lien entre son projet numérique et la qualité de vie au travail</w:t>
      </w:r>
    </w:p>
    <w:p w:rsidR="00003D35" w:rsidRPr="0082192A" w:rsidRDefault="00052173">
      <w:pPr>
        <w:numPr>
          <w:ilvl w:val="0"/>
          <w:numId w:val="2"/>
        </w:numPr>
        <w:spacing w:after="0"/>
        <w:jc w:val="both"/>
        <w:rPr>
          <w:color w:val="1F497D"/>
        </w:rPr>
      </w:pPr>
      <w:r w:rsidRPr="0082192A">
        <w:rPr>
          <w:color w:val="1F497D"/>
        </w:rPr>
        <w:t>Partager et s’enrichir par les pairs</w:t>
      </w:r>
    </w:p>
    <w:p w:rsidR="00003D35" w:rsidRPr="0082192A" w:rsidRDefault="00052173">
      <w:pPr>
        <w:numPr>
          <w:ilvl w:val="0"/>
          <w:numId w:val="2"/>
        </w:numPr>
        <w:spacing w:after="0"/>
        <w:jc w:val="both"/>
        <w:rPr>
          <w:color w:val="1F497D"/>
        </w:rPr>
      </w:pPr>
      <w:r w:rsidRPr="0082192A">
        <w:rPr>
          <w:color w:val="1F497D"/>
        </w:rPr>
        <w:t>Développer des partenariats</w:t>
      </w:r>
    </w:p>
    <w:p w:rsidR="00003D35" w:rsidRPr="0082192A" w:rsidRDefault="0073540C">
      <w:pPr>
        <w:numPr>
          <w:ilvl w:val="0"/>
          <w:numId w:val="2"/>
        </w:numPr>
        <w:ind w:left="425" w:hanging="15"/>
        <w:jc w:val="both"/>
        <w:rPr>
          <w:color w:val="1F497D"/>
        </w:rPr>
      </w:pPr>
      <w:r w:rsidRPr="0082192A">
        <w:rPr>
          <w:color w:val="1F497D"/>
        </w:rPr>
        <w:t>Alimenter la</w:t>
      </w:r>
      <w:r w:rsidR="00052173" w:rsidRPr="0082192A">
        <w:rPr>
          <w:color w:val="1F497D"/>
        </w:rPr>
        <w:t xml:space="preserve"> réflexion sur les enjeux QVT du numérique en santé au niveau régional et national</w:t>
      </w:r>
    </w:p>
    <w:p w:rsidR="00003D35" w:rsidRDefault="00003D35">
      <w:pPr>
        <w:ind w:left="720"/>
        <w:jc w:val="both"/>
        <w:rPr>
          <w:color w:val="1F497D"/>
        </w:rPr>
      </w:pPr>
    </w:p>
    <w:p w:rsidR="00003D35" w:rsidRDefault="00003D35">
      <w:pPr>
        <w:ind w:left="720"/>
        <w:jc w:val="both"/>
        <w:rPr>
          <w:color w:val="1F497D"/>
        </w:rPr>
      </w:pPr>
    </w:p>
    <w:p w:rsidR="00003D35" w:rsidRPr="0082192A" w:rsidRDefault="00052173" w:rsidP="0082192A">
      <w:pPr>
        <w:numPr>
          <w:ilvl w:val="0"/>
          <w:numId w:val="3"/>
        </w:numPr>
        <w:rPr>
          <w:b/>
          <w:color w:val="1F497D"/>
        </w:rPr>
      </w:pPr>
      <w:r w:rsidRPr="0082192A">
        <w:rPr>
          <w:b/>
          <w:color w:val="1F497D"/>
        </w:rPr>
        <w:lastRenderedPageBreak/>
        <w:t>Calendrier du projet “Exploration”</w:t>
      </w:r>
    </w:p>
    <w:p w:rsidR="00003D35" w:rsidRDefault="00052173" w:rsidP="0073540C">
      <w:pPr>
        <w:tabs>
          <w:tab w:val="left" w:pos="1650"/>
        </w:tabs>
        <w:ind w:left="720"/>
        <w:jc w:val="both"/>
        <w:rPr>
          <w:b/>
          <w:color w:val="002060"/>
        </w:rPr>
      </w:pPr>
      <w:r>
        <w:rPr>
          <w:noProof/>
          <w:lang w:eastAsia="fr-FR"/>
        </w:rPr>
        <mc:AlternateContent>
          <mc:Choice Requires="wpg">
            <w:drawing>
              <wp:anchor distT="0" distB="0" distL="114300" distR="114300" simplePos="0" relativeHeight="251658240" behindDoc="0" locked="0" layoutInCell="1" hidden="0" allowOverlap="1">
                <wp:simplePos x="0" y="0"/>
                <wp:positionH relativeFrom="column">
                  <wp:posOffset>3114675</wp:posOffset>
                </wp:positionH>
                <wp:positionV relativeFrom="paragraph">
                  <wp:posOffset>304062</wp:posOffset>
                </wp:positionV>
                <wp:extent cx="2662215" cy="238213"/>
                <wp:effectExtent l="0" t="0" r="0" b="0"/>
                <wp:wrapNone/>
                <wp:docPr id="29" name="Flèche vers la droite 29"/>
                <wp:cNvGraphicFramePr/>
                <a:graphic xmlns:a="http://schemas.openxmlformats.org/drawingml/2006/main">
                  <a:graphicData uri="http://schemas.microsoft.com/office/word/2010/wordprocessingShape">
                    <wps:wsp>
                      <wps:cNvSpPr/>
                      <wps:spPr>
                        <a:xfrm>
                          <a:off x="4027593" y="3673594"/>
                          <a:ext cx="2636815" cy="212813"/>
                        </a:xfrm>
                        <a:prstGeom prst="rightArrow">
                          <a:avLst>
                            <a:gd name="adj1" fmla="val 50000"/>
                            <a:gd name="adj2" fmla="val 50000"/>
                          </a:avLst>
                        </a:prstGeom>
                        <a:gradFill>
                          <a:gsLst>
                            <a:gs pos="0">
                              <a:srgbClr val="F4F8FB"/>
                            </a:gs>
                            <a:gs pos="74000">
                              <a:srgbClr val="AEC5E1"/>
                            </a:gs>
                            <a:gs pos="83000">
                              <a:srgbClr val="AEC5E1"/>
                            </a:gs>
                            <a:gs pos="100000">
                              <a:srgbClr val="C8D8EB"/>
                            </a:gs>
                          </a:gsLst>
                          <a:lin ang="5400000" scaled="0"/>
                        </a:gradFill>
                        <a:ln w="25400" cap="flat" cmpd="sng">
                          <a:solidFill>
                            <a:srgbClr val="395E89"/>
                          </a:solidFill>
                          <a:prstDash val="solid"/>
                          <a:round/>
                          <a:headEnd type="none" w="sm" len="sm"/>
                          <a:tailEnd type="none" w="sm" len="sm"/>
                        </a:ln>
                      </wps:spPr>
                      <wps:txbx>
                        <w:txbxContent>
                          <w:p w:rsidR="00003D35" w:rsidRDefault="00003D3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3114675</wp:posOffset>
                </wp:positionH>
                <wp:positionV relativeFrom="paragraph">
                  <wp:posOffset>304062</wp:posOffset>
                </wp:positionV>
                <wp:extent cx="2662215" cy="238213"/>
                <wp:effectExtent b="0" l="0" r="0" t="0"/>
                <wp:wrapNone/>
                <wp:docPr id="29"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2662215" cy="238213"/>
                        </a:xfrm>
                        <a:prstGeom prst="rect"/>
                        <a:ln/>
                      </pic:spPr>
                    </pic:pic>
                  </a:graphicData>
                </a:graphic>
              </wp:anchor>
            </w:drawing>
          </mc:Fallback>
        </mc:AlternateContent>
      </w:r>
      <w:r w:rsidR="0073540C">
        <w:rPr>
          <w:b/>
          <w:color w:val="002060"/>
        </w:rPr>
        <w:tab/>
      </w:r>
    </w:p>
    <w:p w:rsidR="00003D35" w:rsidRDefault="00052173">
      <w:pPr>
        <w:jc w:val="both"/>
        <w:rPr>
          <w:color w:val="1F497D"/>
        </w:rPr>
      </w:pPr>
      <w:r>
        <w:rPr>
          <w:noProof/>
          <w:color w:val="1F497D"/>
          <w:lang w:eastAsia="fr-FR"/>
        </w:rPr>
        <w:drawing>
          <wp:inline distT="0" distB="0" distL="0" distR="0">
            <wp:extent cx="5760720" cy="1195070"/>
            <wp:effectExtent l="0" t="0" r="0" b="0"/>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760720" cy="1195070"/>
                    </a:xfrm>
                    <a:prstGeom prst="rect">
                      <a:avLst/>
                    </a:prstGeom>
                    <a:ln/>
                  </pic:spPr>
                </pic:pic>
              </a:graphicData>
            </a:graphic>
          </wp:inline>
        </w:drawing>
      </w:r>
      <w:r>
        <w:rPr>
          <w:noProof/>
          <w:lang w:eastAsia="fr-FR"/>
        </w:rPr>
        <mc:AlternateContent>
          <mc:Choice Requires="wps">
            <w:drawing>
              <wp:anchor distT="0" distB="0" distL="114300" distR="114300" simplePos="0" relativeHeight="251659264" behindDoc="0" locked="0" layoutInCell="1" hidden="0" allowOverlap="1">
                <wp:simplePos x="0" y="0"/>
                <wp:positionH relativeFrom="column">
                  <wp:posOffset>254000</wp:posOffset>
                </wp:positionH>
                <wp:positionV relativeFrom="paragraph">
                  <wp:posOffset>1041400</wp:posOffset>
                </wp:positionV>
                <wp:extent cx="934558" cy="456093"/>
                <wp:effectExtent l="0" t="0" r="0" b="0"/>
                <wp:wrapNone/>
                <wp:docPr id="26" name="Rectangle 26"/>
                <wp:cNvGraphicFramePr/>
                <a:graphic xmlns:a="http://schemas.openxmlformats.org/drawingml/2006/main">
                  <a:graphicData uri="http://schemas.microsoft.com/office/word/2010/wordprocessingShape">
                    <wps:wsp>
                      <wps:cNvSpPr/>
                      <wps:spPr>
                        <a:xfrm>
                          <a:off x="4883484" y="3556716"/>
                          <a:ext cx="925033" cy="446568"/>
                        </a:xfrm>
                        <a:prstGeom prst="rect">
                          <a:avLst/>
                        </a:prstGeom>
                        <a:solidFill>
                          <a:schemeClr val="lt1"/>
                        </a:solidFill>
                        <a:ln>
                          <a:noFill/>
                        </a:ln>
                      </wps:spPr>
                      <wps:txbx>
                        <w:txbxContent>
                          <w:p w:rsidR="00003D35" w:rsidRDefault="00052173">
                            <w:pPr>
                              <w:spacing w:line="275" w:lineRule="auto"/>
                              <w:textDirection w:val="btLr"/>
                            </w:pPr>
                            <w:r>
                              <w:rPr>
                                <w:color w:val="000000"/>
                              </w:rPr>
                              <w:t xml:space="preserve">Date limite : </w:t>
                            </w:r>
                            <w:r>
                              <w:rPr>
                                <w:b/>
                                <w:color w:val="000000"/>
                              </w:rPr>
                              <w:t>2</w:t>
                            </w:r>
                            <w:r w:rsidR="00FB4E62">
                              <w:rPr>
                                <w:b/>
                                <w:color w:val="000000"/>
                              </w:rPr>
                              <w:t>2</w:t>
                            </w:r>
                            <w:r>
                              <w:rPr>
                                <w:b/>
                                <w:color w:val="000000"/>
                              </w:rPr>
                              <w:t>/09/2021</w:t>
                            </w:r>
                          </w:p>
                          <w:p w:rsidR="00003D35" w:rsidRDefault="00003D35">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6" o:spid="_x0000_s1027" style="position:absolute;left:0;text-align:left;margin-left:20pt;margin-top:82pt;width:73.6pt;height:35.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aF6gEAALADAAAOAAAAZHJzL2Uyb0RvYy54bWysU11v2yAUfZ+0/4B4X2wntptacaqpVaZJ&#10;1Rat2w+4wThGwsCAxM6/3wW7Tba9TXvB3A8O51yONw9jL8mZWye0qmm2SCnhiulGqGNNf3zffVhT&#10;4jyoBqRWvKYX7ujD9v27zWAqvtSdlg23BEGUqwZT0857UyWJYx3vwS204QqLrbY9eAztMWksDIje&#10;y2SZpmUyaNsYqxl3DrNPU5FuI37bcua/tq3jnsiaIjcfVxvXQ1iT7QaqowXTCTbTgH9g0YNQeOkb&#10;1BN4ICcr/oLqBbPa6dYvmO4T3baC8agB1WTpH2peOjA8asHhOPM2Jvf/YNmX894S0dR0WVKioMc3&#10;+oZTA3WUnGAOBzQYV2Hfi9nbOXK4DWrH1vbhizrIWNN8vV7l65ySS01XRVHeZfE8VHz0hGHD/bJI&#10;VytKGDbkeVmU64CfXIGMdf4T1z0Jm5paZBLHCudn56fW15Zwr9NSNDshZQyCZ/ijtOQM+NrSZzP4&#10;b11ShV6lw6kJMGSSoHFSFXZ+PIxxKBEiZA66ueCgnGE7gdSewfk9WLRKRsmA9qmp+3kCyymRnxW+&#10;z32WLwv0Wwzy4i5F89nbyuG2Aop1Gl3pKZm2jz56dKL68eR1K6L8K5WZM9oiDnC2cPDdbRy7rj/a&#10;9hcAAAD//wMAUEsDBBQABgAIAAAAIQBp+LZC4QAAAA8BAAAPAAAAZHJzL2Rvd25yZXYueG1sTI9N&#10;T8MwDIbvSPyHyEjcWEopW9U1nRBoN8TEYNo1a0xT1jhVk3Xl3+Od4GL58/X7lKvJdWLEIbSeFNzP&#10;EhBItTctNQo+P9Z3OYgQNRndeUIFPxhgVV1flbow/kzvOG5jI1iEQqEV2Bj7QspQW3Q6zHyPxLMv&#10;PzgduRwaaQZ9ZnHXyTRJ5tLplviD1T0+W6yP25NT8JqFzfcaR7vZ7+vYv0Xrd8dJqdub6WXJ4WkJ&#10;IuIU/y7gwsD+oWJjB38iE0SnIEuYJ3J/nnFyWcgXKYiDgvThMQdZlfI/R/ULAAD//wMAUEsBAi0A&#10;FAAGAAgAAAAhALaDOJL+AAAA4QEAABMAAAAAAAAAAAAAAAAAAAAAAFtDb250ZW50X1R5cGVzXS54&#10;bWxQSwECLQAUAAYACAAAACEAOP0h/9YAAACUAQAACwAAAAAAAAAAAAAAAAAvAQAAX3JlbHMvLnJl&#10;bHNQSwECLQAUAAYACAAAACEAWKK2heoBAACwAwAADgAAAAAAAAAAAAAAAAAuAgAAZHJzL2Uyb0Rv&#10;Yy54bWxQSwECLQAUAAYACAAAACEAafi2QuEAAAAPAQAADwAAAAAAAAAAAAAAAABEBAAAZHJzL2Rv&#10;d25yZXYueG1sUEsFBgAAAAAEAAQA8wAAAFIFAAAAAA==&#10;" fillcolor="white [3201]" stroked="f">
                <v:textbox inset="2.53958mm,1.2694mm,2.53958mm,1.2694mm">
                  <w:txbxContent>
                    <w:p w:rsidR="00003D35" w:rsidRDefault="00052173">
                      <w:pPr>
                        <w:spacing w:line="275" w:lineRule="auto"/>
                        <w:textDirection w:val="btLr"/>
                      </w:pPr>
                      <w:r>
                        <w:rPr>
                          <w:color w:val="000000"/>
                        </w:rPr>
                        <w:t xml:space="preserve">Date limite : </w:t>
                      </w:r>
                      <w:r>
                        <w:rPr>
                          <w:b/>
                          <w:color w:val="000000"/>
                        </w:rPr>
                        <w:t>2</w:t>
                      </w:r>
                      <w:r w:rsidR="00FB4E62">
                        <w:rPr>
                          <w:b/>
                          <w:color w:val="000000"/>
                        </w:rPr>
                        <w:t>2</w:t>
                      </w:r>
                      <w:r>
                        <w:rPr>
                          <w:b/>
                          <w:color w:val="000000"/>
                        </w:rPr>
                        <w:t>/09/2021</w:t>
                      </w:r>
                    </w:p>
                    <w:p w:rsidR="00003D35" w:rsidRDefault="00003D35">
                      <w:pPr>
                        <w:spacing w:line="275" w:lineRule="auto"/>
                        <w:textDirection w:val="btLr"/>
                      </w:pPr>
                    </w:p>
                  </w:txbxContent>
                </v:textbox>
              </v:rect>
            </w:pict>
          </mc:Fallback>
        </mc:AlternateContent>
      </w:r>
      <w:r>
        <w:rPr>
          <w:noProof/>
          <w:lang w:eastAsia="fr-FR"/>
        </w:rPr>
        <mc:AlternateContent>
          <mc:Choice Requires="wpg">
            <w:drawing>
              <wp:anchor distT="0" distB="0" distL="114300" distR="114300" simplePos="0" relativeHeight="251660288" behindDoc="0" locked="0" layoutInCell="1" hidden="0" allowOverlap="1">
                <wp:simplePos x="0" y="0"/>
                <wp:positionH relativeFrom="column">
                  <wp:posOffset>1714500</wp:posOffset>
                </wp:positionH>
                <wp:positionV relativeFrom="paragraph">
                  <wp:posOffset>1117600</wp:posOffset>
                </wp:positionV>
                <wp:extent cx="1136576" cy="455930"/>
                <wp:effectExtent l="0" t="0" r="0" b="0"/>
                <wp:wrapNone/>
                <wp:docPr id="30" name="Rectangle 30"/>
                <wp:cNvGraphicFramePr/>
                <a:graphic xmlns:a="http://schemas.openxmlformats.org/drawingml/2006/main">
                  <a:graphicData uri="http://schemas.microsoft.com/office/word/2010/wordprocessingShape">
                    <wps:wsp>
                      <wps:cNvSpPr/>
                      <wps:spPr>
                        <a:xfrm>
                          <a:off x="4782475" y="3556798"/>
                          <a:ext cx="1127051" cy="446405"/>
                        </a:xfrm>
                        <a:prstGeom prst="rect">
                          <a:avLst/>
                        </a:prstGeom>
                        <a:solidFill>
                          <a:schemeClr val="lt1"/>
                        </a:solidFill>
                        <a:ln>
                          <a:noFill/>
                        </a:ln>
                      </wps:spPr>
                      <wps:txbx>
                        <w:txbxContent>
                          <w:p w:rsidR="00003D35" w:rsidRDefault="00052173">
                            <w:pPr>
                              <w:spacing w:line="275" w:lineRule="auto"/>
                              <w:textDirection w:val="btLr"/>
                            </w:pPr>
                            <w:r>
                              <w:rPr>
                                <w:b/>
                                <w:color w:val="000000"/>
                              </w:rPr>
                              <w:t>Décembre 2021</w:t>
                            </w:r>
                          </w:p>
                          <w:p w:rsidR="00003D35" w:rsidRDefault="00003D35">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1714500</wp:posOffset>
                </wp:positionH>
                <wp:positionV relativeFrom="paragraph">
                  <wp:posOffset>1117600</wp:posOffset>
                </wp:positionV>
                <wp:extent cx="1136576" cy="455930"/>
                <wp:effectExtent b="0" l="0" r="0" t="0"/>
                <wp:wrapNone/>
                <wp:docPr id="30"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1136576" cy="455930"/>
                        </a:xfrm>
                        <a:prstGeom prst="rect"/>
                        <a:ln/>
                      </pic:spPr>
                    </pic:pic>
                  </a:graphicData>
                </a:graphic>
              </wp:anchor>
            </w:drawing>
          </mc:Fallback>
        </mc:AlternateContent>
      </w:r>
      <w:r>
        <w:rPr>
          <w:noProof/>
          <w:lang w:eastAsia="fr-FR"/>
        </w:rPr>
        <mc:AlternateContent>
          <mc:Choice Requires="wpg">
            <w:drawing>
              <wp:anchor distT="0" distB="0" distL="114300" distR="114300" simplePos="0" relativeHeight="251661312" behindDoc="0" locked="0" layoutInCell="1" hidden="0" allowOverlap="1">
                <wp:simplePos x="0" y="0"/>
                <wp:positionH relativeFrom="column">
                  <wp:posOffset>3225800</wp:posOffset>
                </wp:positionH>
                <wp:positionV relativeFrom="paragraph">
                  <wp:posOffset>1117600</wp:posOffset>
                </wp:positionV>
                <wp:extent cx="934558" cy="456093"/>
                <wp:effectExtent l="0" t="0" r="0" b="0"/>
                <wp:wrapNone/>
                <wp:docPr id="28" name="Rectangle 28"/>
                <wp:cNvGraphicFramePr/>
                <a:graphic xmlns:a="http://schemas.openxmlformats.org/drawingml/2006/main">
                  <a:graphicData uri="http://schemas.microsoft.com/office/word/2010/wordprocessingShape">
                    <wps:wsp>
                      <wps:cNvSpPr/>
                      <wps:spPr>
                        <a:xfrm>
                          <a:off x="4883484" y="3556716"/>
                          <a:ext cx="925033" cy="446568"/>
                        </a:xfrm>
                        <a:prstGeom prst="rect">
                          <a:avLst/>
                        </a:prstGeom>
                        <a:solidFill>
                          <a:schemeClr val="lt1"/>
                        </a:solidFill>
                        <a:ln>
                          <a:noFill/>
                        </a:ln>
                      </wps:spPr>
                      <wps:txbx>
                        <w:txbxContent>
                          <w:p w:rsidR="00003D35" w:rsidRDefault="00052173">
                            <w:pPr>
                              <w:spacing w:line="275" w:lineRule="auto"/>
                              <w:textDirection w:val="btLr"/>
                            </w:pPr>
                            <w:r>
                              <w:rPr>
                                <w:b/>
                                <w:color w:val="000000"/>
                              </w:rPr>
                              <w:t>Janvier 2022</w:t>
                            </w:r>
                          </w:p>
                          <w:p w:rsidR="00003D35" w:rsidRDefault="00003D35">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3225800</wp:posOffset>
                </wp:positionH>
                <wp:positionV relativeFrom="paragraph">
                  <wp:posOffset>1117600</wp:posOffset>
                </wp:positionV>
                <wp:extent cx="934558" cy="456093"/>
                <wp:effectExtent b="0" l="0" r="0" t="0"/>
                <wp:wrapNone/>
                <wp:docPr id="28"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934558" cy="456093"/>
                        </a:xfrm>
                        <a:prstGeom prst="rect"/>
                        <a:ln/>
                      </pic:spPr>
                    </pic:pic>
                  </a:graphicData>
                </a:graphic>
              </wp:anchor>
            </w:drawing>
          </mc:Fallback>
        </mc:AlternateContent>
      </w:r>
      <w:r>
        <w:rPr>
          <w:noProof/>
          <w:lang w:eastAsia="fr-FR"/>
        </w:rPr>
        <mc:AlternateContent>
          <mc:Choice Requires="wpg">
            <w:drawing>
              <wp:anchor distT="0" distB="0" distL="114300" distR="114300" simplePos="0" relativeHeight="251662336" behindDoc="0" locked="0" layoutInCell="1" hidden="0" allowOverlap="1">
                <wp:simplePos x="0" y="0"/>
                <wp:positionH relativeFrom="column">
                  <wp:posOffset>4546600</wp:posOffset>
                </wp:positionH>
                <wp:positionV relativeFrom="paragraph">
                  <wp:posOffset>1117600</wp:posOffset>
                </wp:positionV>
                <wp:extent cx="1211004" cy="456093"/>
                <wp:effectExtent l="0" t="0" r="0" b="0"/>
                <wp:wrapNone/>
                <wp:docPr id="27" name="Rectangle 27"/>
                <wp:cNvGraphicFramePr/>
                <a:graphic xmlns:a="http://schemas.openxmlformats.org/drawingml/2006/main">
                  <a:graphicData uri="http://schemas.microsoft.com/office/word/2010/wordprocessingShape">
                    <wps:wsp>
                      <wps:cNvSpPr/>
                      <wps:spPr>
                        <a:xfrm>
                          <a:off x="4745261" y="3556716"/>
                          <a:ext cx="1201479" cy="446568"/>
                        </a:xfrm>
                        <a:prstGeom prst="rect">
                          <a:avLst/>
                        </a:prstGeom>
                        <a:noFill/>
                        <a:ln>
                          <a:noFill/>
                        </a:ln>
                      </wps:spPr>
                      <wps:txbx>
                        <w:txbxContent>
                          <w:p w:rsidR="00003D35" w:rsidRDefault="00052173">
                            <w:pPr>
                              <w:spacing w:line="275" w:lineRule="auto"/>
                              <w:textDirection w:val="btLr"/>
                            </w:pPr>
                            <w:r>
                              <w:rPr>
                                <w:b/>
                                <w:color w:val="000000"/>
                              </w:rPr>
                              <w:t>Septembre 2022</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4546600</wp:posOffset>
                </wp:positionH>
                <wp:positionV relativeFrom="paragraph">
                  <wp:posOffset>1117600</wp:posOffset>
                </wp:positionV>
                <wp:extent cx="1211004" cy="456093"/>
                <wp:effectExtent b="0" l="0" r="0" t="0"/>
                <wp:wrapNone/>
                <wp:docPr id="27"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1211004" cy="456093"/>
                        </a:xfrm>
                        <a:prstGeom prst="rect"/>
                        <a:ln/>
                      </pic:spPr>
                    </pic:pic>
                  </a:graphicData>
                </a:graphic>
              </wp:anchor>
            </w:drawing>
          </mc:Fallback>
        </mc:AlternateContent>
      </w:r>
    </w:p>
    <w:p w:rsidR="00003D35" w:rsidRDefault="00003D35">
      <w:pPr>
        <w:jc w:val="both"/>
        <w:rPr>
          <w:color w:val="1F497D"/>
          <w:highlight w:val="lightGray"/>
        </w:rPr>
      </w:pPr>
    </w:p>
    <w:p w:rsidR="00003D35" w:rsidRDefault="00003D35">
      <w:pPr>
        <w:jc w:val="both"/>
        <w:rPr>
          <w:color w:val="1F497D"/>
          <w:highlight w:val="lightGray"/>
        </w:rPr>
      </w:pPr>
    </w:p>
    <w:p w:rsidR="00003D35" w:rsidRPr="0073540C" w:rsidRDefault="00052173">
      <w:pPr>
        <w:jc w:val="both"/>
        <w:rPr>
          <w:color w:val="1F497D"/>
          <w:u w:val="single"/>
        </w:rPr>
      </w:pPr>
      <w:r w:rsidRPr="0073540C">
        <w:rPr>
          <w:color w:val="1F497D"/>
          <w:u w:val="single"/>
        </w:rPr>
        <w:t>L’investissement pour les structures :</w:t>
      </w:r>
    </w:p>
    <w:p w:rsidR="00003D35" w:rsidRPr="0073540C" w:rsidRDefault="00052173">
      <w:pPr>
        <w:numPr>
          <w:ilvl w:val="0"/>
          <w:numId w:val="4"/>
        </w:numPr>
        <w:pBdr>
          <w:top w:val="nil"/>
          <w:left w:val="nil"/>
          <w:bottom w:val="nil"/>
          <w:right w:val="nil"/>
          <w:between w:val="nil"/>
        </w:pBdr>
        <w:spacing w:after="0"/>
        <w:jc w:val="both"/>
        <w:rPr>
          <w:color w:val="1F497D"/>
        </w:rPr>
      </w:pPr>
      <w:r w:rsidRPr="0073540C">
        <w:rPr>
          <w:color w:val="1F497D"/>
        </w:rPr>
        <w:t>Désignation de trois personnes contributrices de l’ACIA (Trinôme)</w:t>
      </w:r>
    </w:p>
    <w:p w:rsidR="00003D35" w:rsidRPr="0073540C" w:rsidRDefault="00052173">
      <w:pPr>
        <w:numPr>
          <w:ilvl w:val="0"/>
          <w:numId w:val="4"/>
        </w:numPr>
        <w:pBdr>
          <w:top w:val="nil"/>
          <w:left w:val="nil"/>
          <w:bottom w:val="nil"/>
          <w:right w:val="nil"/>
          <w:between w:val="nil"/>
        </w:pBdr>
        <w:spacing w:after="0"/>
        <w:jc w:val="both"/>
        <w:rPr>
          <w:color w:val="1F497D"/>
        </w:rPr>
      </w:pPr>
      <w:r w:rsidRPr="0073540C">
        <w:rPr>
          <w:color w:val="1F497D"/>
        </w:rPr>
        <w:t>Temps d’entretien amont avec l’ARACT Ile de France pour approfondissement des attentes et des besoins</w:t>
      </w:r>
    </w:p>
    <w:p w:rsidR="00003D35" w:rsidRPr="0073540C" w:rsidRDefault="00052173">
      <w:pPr>
        <w:numPr>
          <w:ilvl w:val="0"/>
          <w:numId w:val="4"/>
        </w:numPr>
        <w:pBdr>
          <w:top w:val="nil"/>
          <w:left w:val="nil"/>
          <w:bottom w:val="nil"/>
          <w:right w:val="nil"/>
          <w:between w:val="nil"/>
        </w:pBdr>
        <w:spacing w:after="0"/>
        <w:jc w:val="both"/>
        <w:rPr>
          <w:color w:val="1F497D"/>
        </w:rPr>
      </w:pPr>
      <w:r w:rsidRPr="0073540C">
        <w:rPr>
          <w:color w:val="1F497D"/>
        </w:rPr>
        <w:t>Participation à 3 temps collectifs de 3h chacun</w:t>
      </w:r>
    </w:p>
    <w:p w:rsidR="00003D35" w:rsidRPr="0073540C" w:rsidRDefault="00052173">
      <w:pPr>
        <w:numPr>
          <w:ilvl w:val="0"/>
          <w:numId w:val="4"/>
        </w:numPr>
        <w:pBdr>
          <w:top w:val="nil"/>
          <w:left w:val="nil"/>
          <w:bottom w:val="nil"/>
          <w:right w:val="nil"/>
          <w:between w:val="nil"/>
        </w:pBdr>
        <w:spacing w:after="0"/>
        <w:jc w:val="both"/>
        <w:rPr>
          <w:color w:val="1F497D"/>
        </w:rPr>
      </w:pPr>
      <w:r w:rsidRPr="0073540C">
        <w:rPr>
          <w:color w:val="1F497D"/>
        </w:rPr>
        <w:t>Participation à 3 temps individuels de 3h chacun</w:t>
      </w:r>
    </w:p>
    <w:p w:rsidR="00003D35" w:rsidRPr="0073540C" w:rsidRDefault="00052173">
      <w:pPr>
        <w:numPr>
          <w:ilvl w:val="0"/>
          <w:numId w:val="4"/>
        </w:numPr>
        <w:pBdr>
          <w:top w:val="nil"/>
          <w:left w:val="nil"/>
          <w:bottom w:val="nil"/>
          <w:right w:val="nil"/>
          <w:between w:val="nil"/>
        </w:pBdr>
        <w:spacing w:after="0"/>
        <w:jc w:val="both"/>
        <w:rPr>
          <w:color w:val="1F497D"/>
        </w:rPr>
      </w:pPr>
      <w:r w:rsidRPr="0073540C">
        <w:rPr>
          <w:color w:val="1F497D"/>
        </w:rPr>
        <w:t>Coordination et organisation de la phase de recueil de données, d’enquêtes sur les terrains, des entretiens individuels et/ou collectifs et des observations du travail</w:t>
      </w:r>
    </w:p>
    <w:p w:rsidR="00003D35" w:rsidRPr="0073540C" w:rsidRDefault="00003D35">
      <w:pPr>
        <w:pBdr>
          <w:top w:val="nil"/>
          <w:left w:val="nil"/>
          <w:bottom w:val="nil"/>
          <w:right w:val="nil"/>
          <w:between w:val="nil"/>
        </w:pBdr>
        <w:jc w:val="both"/>
        <w:rPr>
          <w:color w:val="1F497D"/>
        </w:rPr>
      </w:pPr>
    </w:p>
    <w:p w:rsidR="00003D35" w:rsidRPr="0082192A" w:rsidRDefault="00052173">
      <w:pPr>
        <w:pBdr>
          <w:top w:val="nil"/>
          <w:left w:val="nil"/>
          <w:bottom w:val="nil"/>
          <w:right w:val="nil"/>
          <w:between w:val="nil"/>
        </w:pBdr>
        <w:jc w:val="both"/>
        <w:rPr>
          <w:color w:val="1F497D"/>
        </w:rPr>
      </w:pPr>
      <w:r w:rsidRPr="0082192A">
        <w:rPr>
          <w:color w:val="1F497D"/>
        </w:rPr>
        <w:t xml:space="preserve">Si vous souhaitez déposer votre candidature, merci de bien vouloir noter d’ores et déjà les premiers éléments de calendrier </w:t>
      </w:r>
      <w:r w:rsidR="00B17C18" w:rsidRPr="0082192A">
        <w:rPr>
          <w:color w:val="1F497D"/>
        </w:rPr>
        <w:t>suivants :</w:t>
      </w:r>
    </w:p>
    <w:p w:rsidR="00003D35" w:rsidRPr="0082192A" w:rsidRDefault="00052173">
      <w:pPr>
        <w:numPr>
          <w:ilvl w:val="0"/>
          <w:numId w:val="6"/>
        </w:numPr>
        <w:pBdr>
          <w:top w:val="nil"/>
          <w:left w:val="nil"/>
          <w:bottom w:val="nil"/>
          <w:right w:val="nil"/>
          <w:between w:val="nil"/>
        </w:pBdr>
        <w:spacing w:after="0"/>
        <w:jc w:val="both"/>
        <w:rPr>
          <w:color w:val="1F497D"/>
        </w:rPr>
      </w:pPr>
      <w:r w:rsidRPr="0082192A">
        <w:rPr>
          <w:color w:val="1F497D"/>
        </w:rPr>
        <w:t xml:space="preserve">Temps individuel 1 : entretien de 3h pour comprendre et discuter du projet et identifier vos attentes et vos besoins - 2ème quinzaine de janvier 2022 (organisation </w:t>
      </w:r>
      <w:r w:rsidR="00B17C18" w:rsidRPr="0082192A">
        <w:rPr>
          <w:color w:val="1F497D"/>
        </w:rPr>
        <w:t xml:space="preserve">des </w:t>
      </w:r>
      <w:r w:rsidR="00C510E7" w:rsidRPr="0082192A">
        <w:rPr>
          <w:color w:val="1F497D"/>
        </w:rPr>
        <w:t>rdv</w:t>
      </w:r>
      <w:r w:rsidRPr="0082192A">
        <w:rPr>
          <w:color w:val="1F497D"/>
        </w:rPr>
        <w:t xml:space="preserve"> en décembre 2021)</w:t>
      </w:r>
    </w:p>
    <w:p w:rsidR="00003D35" w:rsidRPr="0073540C" w:rsidRDefault="00052173">
      <w:pPr>
        <w:numPr>
          <w:ilvl w:val="0"/>
          <w:numId w:val="6"/>
        </w:numPr>
        <w:pBdr>
          <w:top w:val="nil"/>
          <w:left w:val="nil"/>
          <w:bottom w:val="nil"/>
          <w:right w:val="nil"/>
          <w:between w:val="nil"/>
        </w:pBdr>
        <w:jc w:val="both"/>
        <w:rPr>
          <w:color w:val="1F497D"/>
        </w:rPr>
      </w:pPr>
      <w:r w:rsidRPr="0082192A">
        <w:rPr>
          <w:color w:val="1F497D"/>
        </w:rPr>
        <w:t>Temps collectif 1 :</w:t>
      </w:r>
      <w:r w:rsidRPr="0073540C">
        <w:rPr>
          <w:color w:val="1F497D"/>
        </w:rPr>
        <w:t xml:space="preserve"> </w:t>
      </w:r>
      <w:r w:rsidRPr="0082192A">
        <w:rPr>
          <w:color w:val="1F497D"/>
        </w:rPr>
        <w:t>15 février 2022 matin : partage des projets des structures et des besoins d’exploration</w:t>
      </w:r>
    </w:p>
    <w:p w:rsidR="00003D35" w:rsidRDefault="00003D35">
      <w:pPr>
        <w:spacing w:after="0"/>
        <w:jc w:val="both"/>
        <w:rPr>
          <w:color w:val="1F497D"/>
        </w:rPr>
      </w:pPr>
    </w:p>
    <w:p w:rsidR="00003D35" w:rsidRDefault="00003D35">
      <w:pPr>
        <w:spacing w:after="0"/>
        <w:jc w:val="both"/>
        <w:rPr>
          <w:color w:val="1F497D"/>
        </w:rPr>
      </w:pPr>
    </w:p>
    <w:p w:rsidR="00003D35" w:rsidRDefault="00003D35">
      <w:pPr>
        <w:spacing w:after="0"/>
        <w:jc w:val="both"/>
        <w:rPr>
          <w:color w:val="1F497D"/>
        </w:rPr>
      </w:pPr>
    </w:p>
    <w:p w:rsidR="00003D35" w:rsidRDefault="00003D35">
      <w:pPr>
        <w:spacing w:after="0"/>
        <w:jc w:val="both"/>
        <w:rPr>
          <w:color w:val="1F497D"/>
        </w:rPr>
      </w:pPr>
    </w:p>
    <w:p w:rsidR="00003D35" w:rsidRDefault="00003D35">
      <w:pPr>
        <w:spacing w:after="0"/>
        <w:jc w:val="both"/>
        <w:rPr>
          <w:color w:val="1F497D"/>
        </w:rPr>
      </w:pPr>
    </w:p>
    <w:p w:rsidR="00003D35" w:rsidRDefault="00003D35">
      <w:pPr>
        <w:spacing w:after="0"/>
        <w:jc w:val="both"/>
        <w:rPr>
          <w:color w:val="1F497D"/>
        </w:rPr>
      </w:pPr>
    </w:p>
    <w:p w:rsidR="00003D35" w:rsidRDefault="00003D35">
      <w:pPr>
        <w:spacing w:after="0"/>
        <w:jc w:val="both"/>
        <w:rPr>
          <w:color w:val="1F497D"/>
        </w:rPr>
      </w:pPr>
    </w:p>
    <w:p w:rsidR="00003D35" w:rsidRDefault="00003D35">
      <w:pPr>
        <w:spacing w:after="0"/>
        <w:jc w:val="both"/>
        <w:rPr>
          <w:color w:val="1F497D"/>
        </w:rPr>
      </w:pPr>
    </w:p>
    <w:p w:rsidR="00003D35" w:rsidRDefault="00003D35">
      <w:pPr>
        <w:spacing w:after="0"/>
        <w:jc w:val="both"/>
        <w:rPr>
          <w:color w:val="1F497D"/>
        </w:rPr>
      </w:pPr>
    </w:p>
    <w:p w:rsidR="00003D35" w:rsidRDefault="00003D35">
      <w:pPr>
        <w:spacing w:after="0"/>
        <w:jc w:val="both"/>
        <w:rPr>
          <w:color w:val="1F497D"/>
        </w:rPr>
      </w:pPr>
    </w:p>
    <w:p w:rsidR="00003D35" w:rsidRPr="0082192A" w:rsidRDefault="00052173">
      <w:pPr>
        <w:numPr>
          <w:ilvl w:val="0"/>
          <w:numId w:val="3"/>
        </w:numPr>
        <w:rPr>
          <w:b/>
          <w:color w:val="1F497D"/>
        </w:rPr>
      </w:pPr>
      <w:r w:rsidRPr="0082192A">
        <w:rPr>
          <w:b/>
          <w:color w:val="1F497D"/>
        </w:rPr>
        <w:t xml:space="preserve">Dépôt des dossiers de candidature pour l’exploration </w:t>
      </w:r>
    </w:p>
    <w:p w:rsidR="00003D35" w:rsidRDefault="00052173">
      <w:pPr>
        <w:jc w:val="both"/>
        <w:rPr>
          <w:color w:val="1F497D"/>
        </w:rPr>
      </w:pPr>
      <w:r>
        <w:rPr>
          <w:color w:val="1F497D"/>
        </w:rPr>
        <w:t xml:space="preserve">Pour déposer votre candidature et participer à cette action collective innovante et apprenante, </w:t>
      </w:r>
      <w:r w:rsidR="00B17C18">
        <w:rPr>
          <w:color w:val="1F497D"/>
        </w:rPr>
        <w:t>merci d’adresser</w:t>
      </w:r>
      <w:r>
        <w:rPr>
          <w:color w:val="1F497D"/>
        </w:rPr>
        <w:t xml:space="preserve"> votre candidature et votre engagement en nous retournant le document ci-joint complété, daté et signé </w:t>
      </w:r>
      <w:r>
        <w:rPr>
          <w:b/>
          <w:color w:val="1F497D"/>
          <w:u w:val="single"/>
        </w:rPr>
        <w:t>au plus tard le 2</w:t>
      </w:r>
      <w:r w:rsidR="00FB4E62">
        <w:rPr>
          <w:b/>
          <w:color w:val="1F497D"/>
          <w:u w:val="single"/>
        </w:rPr>
        <w:t>2</w:t>
      </w:r>
      <w:r>
        <w:rPr>
          <w:b/>
          <w:color w:val="1F497D"/>
          <w:u w:val="single"/>
        </w:rPr>
        <w:t xml:space="preserve"> septembre 2021</w:t>
      </w:r>
      <w:r>
        <w:rPr>
          <w:b/>
          <w:color w:val="1F497D"/>
        </w:rPr>
        <w:t xml:space="preserve"> </w:t>
      </w:r>
      <w:r>
        <w:rPr>
          <w:color w:val="1F497D"/>
        </w:rPr>
        <w:t>à :</w:t>
      </w:r>
    </w:p>
    <w:p w:rsidR="00003D35" w:rsidRDefault="00052173">
      <w:pPr>
        <w:jc w:val="center"/>
        <w:rPr>
          <w:b/>
          <w:color w:val="1F497D"/>
        </w:rPr>
      </w:pPr>
      <w:r>
        <w:rPr>
          <w:b/>
          <w:color w:val="1F497D"/>
        </w:rPr>
        <w:t xml:space="preserve">Monsieur Éric Bongrand, ARS Ile de France : </w:t>
      </w:r>
      <w:hyperlink r:id="rId14">
        <w:r>
          <w:rPr>
            <w:b/>
            <w:color w:val="1155CC"/>
            <w:u w:val="single"/>
          </w:rPr>
          <w:t>eric.bongrand@ars.sante.fr</w:t>
        </w:r>
      </w:hyperlink>
      <w:r>
        <w:rPr>
          <w:b/>
          <w:color w:val="1F497D"/>
        </w:rPr>
        <w:t xml:space="preserve"> </w:t>
      </w:r>
    </w:p>
    <w:p w:rsidR="00003D35" w:rsidRPr="0073540C" w:rsidRDefault="0073540C">
      <w:pPr>
        <w:jc w:val="center"/>
        <w:rPr>
          <w:b/>
          <w:color w:val="365F91" w:themeColor="accent1" w:themeShade="BF"/>
        </w:rPr>
      </w:pPr>
      <w:r w:rsidRPr="0073540C">
        <w:rPr>
          <w:b/>
          <w:color w:val="1F497D"/>
        </w:rPr>
        <w:t>Dr Élise Bléry</w:t>
      </w:r>
      <w:r w:rsidR="00052173" w:rsidRPr="0073540C">
        <w:rPr>
          <w:b/>
          <w:color w:val="1F497D"/>
        </w:rPr>
        <w:t>, ARS Ile</w:t>
      </w:r>
      <w:r w:rsidRPr="0073540C">
        <w:rPr>
          <w:b/>
          <w:color w:val="1F497D"/>
        </w:rPr>
        <w:t xml:space="preserve"> de France : </w:t>
      </w:r>
      <w:hyperlink r:id="rId15" w:history="1">
        <w:r w:rsidRPr="0073540C">
          <w:rPr>
            <w:rStyle w:val="Lienhypertexte"/>
            <w:b/>
            <w:color w:val="365F91" w:themeColor="accent1" w:themeShade="BF"/>
          </w:rPr>
          <w:t>elise.blery@ars.sante.fr</w:t>
        </w:r>
      </w:hyperlink>
    </w:p>
    <w:p w:rsidR="00003D35" w:rsidRDefault="00052173">
      <w:pPr>
        <w:jc w:val="center"/>
        <w:rPr>
          <w:b/>
          <w:color w:val="1F497D"/>
        </w:rPr>
      </w:pPr>
      <w:r>
        <w:rPr>
          <w:b/>
          <w:color w:val="1F497D"/>
        </w:rPr>
        <w:t xml:space="preserve">Madame Pascale Simon, Aract Ile de France: </w:t>
      </w:r>
      <w:hyperlink r:id="rId16">
        <w:r>
          <w:rPr>
            <w:b/>
            <w:color w:val="1155CC"/>
            <w:u w:val="single"/>
          </w:rPr>
          <w:t>p.simon@anact.fr</w:t>
        </w:r>
      </w:hyperlink>
      <w:r>
        <w:rPr>
          <w:b/>
          <w:color w:val="1F497D"/>
        </w:rPr>
        <w:t xml:space="preserve"> </w:t>
      </w:r>
    </w:p>
    <w:p w:rsidR="00003D35" w:rsidRDefault="00052173">
      <w:pPr>
        <w:jc w:val="center"/>
      </w:pPr>
      <w:r>
        <w:rPr>
          <w:b/>
          <w:color w:val="1F497D"/>
        </w:rPr>
        <w:t xml:space="preserve">Madame Sabrina Moukah-Bellil, Aract Ile de France: </w:t>
      </w:r>
      <w:hyperlink r:id="rId17">
        <w:r>
          <w:rPr>
            <w:b/>
            <w:color w:val="1155CC"/>
            <w:u w:val="single"/>
          </w:rPr>
          <w:t>s.moukah-bellil@anact.fr</w:t>
        </w:r>
      </w:hyperlink>
      <w:r>
        <w:rPr>
          <w:b/>
          <w:color w:val="1F497D"/>
        </w:rPr>
        <w:t xml:space="preserve"> </w:t>
      </w:r>
    </w:p>
    <w:p w:rsidR="00003D35" w:rsidRDefault="00003D35"/>
    <w:p w:rsidR="00003D35" w:rsidRPr="0073540C" w:rsidRDefault="00052173">
      <w:pPr>
        <w:rPr>
          <w:color w:val="1F497D"/>
        </w:rPr>
      </w:pPr>
      <w:r w:rsidRPr="0082192A">
        <w:rPr>
          <w:color w:val="1F497D"/>
        </w:rPr>
        <w:t>Une réponse à votre candidature vous sera apportée au plus tard fin novembre 2021</w:t>
      </w:r>
    </w:p>
    <w:sectPr w:rsidR="00003D35" w:rsidRPr="0073540C">
      <w:headerReference w:type="default" r:id="rId18"/>
      <w:footerReference w:type="even" r:id="rId19"/>
      <w:footerReference w:type="default" r:id="rId20"/>
      <w:pgSz w:w="11906" w:h="16838"/>
      <w:pgMar w:top="2034" w:right="1417" w:bottom="1276" w:left="1417" w:header="374" w:footer="22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A59" w:rsidRDefault="00F46A59">
      <w:pPr>
        <w:spacing w:after="0" w:line="240" w:lineRule="auto"/>
      </w:pPr>
      <w:r>
        <w:separator/>
      </w:r>
    </w:p>
  </w:endnote>
  <w:endnote w:type="continuationSeparator" w:id="0">
    <w:p w:rsidR="00F46A59" w:rsidRDefault="00F46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badi MT Condensed Light">
    <w:altName w:val="MV Boli"/>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D35" w:rsidRDefault="00052173">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rsidR="00003D35" w:rsidRDefault="00003D35">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D35" w:rsidRDefault="00052173">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3302A">
      <w:rPr>
        <w:noProof/>
        <w:color w:val="000000"/>
      </w:rPr>
      <w:t>6</w:t>
    </w:r>
    <w:r>
      <w:rPr>
        <w:color w:val="000000"/>
      </w:rPr>
      <w:fldChar w:fldCharType="end"/>
    </w:r>
  </w:p>
  <w:p w:rsidR="00003D35" w:rsidRDefault="00003D35">
    <w:pPr>
      <w:pStyle w:val="Titre"/>
      <w:spacing w:after="0"/>
      <w:jc w:val="right"/>
      <w:rPr>
        <w:rFonts w:ascii="Abadi MT Condensed Light" w:eastAsia="Abadi MT Condensed Light" w:hAnsi="Abadi MT Condensed Light" w:cs="Abadi MT Condensed Light"/>
        <w:b/>
        <w:color w:val="FF0000"/>
        <w:sz w:val="18"/>
        <w:szCs w:val="18"/>
      </w:rPr>
    </w:pPr>
  </w:p>
  <w:p w:rsidR="00003D35" w:rsidRDefault="00003D35">
    <w:pPr>
      <w:pStyle w:val="Titre"/>
      <w:spacing w:after="0"/>
      <w:jc w:val="right"/>
      <w:rPr>
        <w:rFonts w:ascii="Abadi MT Condensed Light" w:eastAsia="Abadi MT Condensed Light" w:hAnsi="Abadi MT Condensed Light" w:cs="Abadi MT Condensed Light"/>
        <w:b/>
        <w:color w:val="FF0000"/>
        <w:sz w:val="18"/>
        <w:szCs w:val="18"/>
      </w:rPr>
    </w:pPr>
  </w:p>
  <w:p w:rsidR="00003D35" w:rsidRDefault="00003D35">
    <w:pPr>
      <w:pStyle w:val="Titre"/>
      <w:spacing w:after="240"/>
      <w:jc w:val="right"/>
      <w:rPr>
        <w:rFonts w:ascii="Calibri" w:eastAsia="Calibri" w:hAnsi="Calibri" w:cs="Calibri"/>
        <w:b/>
        <w:i/>
        <w:strike/>
        <w:color w:val="366091"/>
        <w:sz w:val="18"/>
        <w:szCs w:val="18"/>
      </w:rPr>
    </w:pPr>
  </w:p>
  <w:p w:rsidR="00003D35" w:rsidRDefault="00003D3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A59" w:rsidRDefault="00F46A59">
      <w:pPr>
        <w:spacing w:after="0" w:line="240" w:lineRule="auto"/>
      </w:pPr>
      <w:r>
        <w:separator/>
      </w:r>
    </w:p>
  </w:footnote>
  <w:footnote w:type="continuationSeparator" w:id="0">
    <w:p w:rsidR="00F46A59" w:rsidRDefault="00F46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D35" w:rsidRDefault="00003D35">
    <w:pPr>
      <w:tabs>
        <w:tab w:val="left" w:pos="7710"/>
      </w:tabs>
      <w:ind w:left="-567"/>
      <w:rPr>
        <w:b/>
        <w:color w:val="4F81BD"/>
        <w:sz w:val="16"/>
        <w:szCs w:val="16"/>
      </w:rPr>
    </w:pPr>
    <w:bookmarkStart w:id="2" w:name="_heading=h.mtskksa0q0i1" w:colFirst="0" w:colLast="0"/>
    <w:bookmarkEnd w:id="2"/>
  </w:p>
  <w:tbl>
    <w:tblPr>
      <w:tblStyle w:val="a"/>
      <w:tblW w:w="9639" w:type="dxa"/>
      <w:tblInd w:w="-467" w:type="dxa"/>
      <w:tblLayout w:type="fixed"/>
      <w:tblLook w:val="0600" w:firstRow="0" w:lastRow="0" w:firstColumn="0" w:lastColumn="0" w:noHBand="1" w:noVBand="1"/>
    </w:tblPr>
    <w:tblGrid>
      <w:gridCol w:w="2409"/>
      <w:gridCol w:w="2410"/>
      <w:gridCol w:w="2410"/>
      <w:gridCol w:w="2410"/>
    </w:tblGrid>
    <w:tr w:rsidR="00003D35">
      <w:tc>
        <w:tcPr>
          <w:tcW w:w="2409" w:type="dxa"/>
          <w:shd w:val="clear" w:color="auto" w:fill="auto"/>
          <w:tcMar>
            <w:top w:w="100" w:type="dxa"/>
            <w:left w:w="100" w:type="dxa"/>
            <w:bottom w:w="100" w:type="dxa"/>
            <w:right w:w="100" w:type="dxa"/>
          </w:tcMar>
        </w:tcPr>
        <w:p w:rsidR="00003D35" w:rsidRDefault="00052173">
          <w:pPr>
            <w:widowControl w:val="0"/>
            <w:pBdr>
              <w:top w:val="nil"/>
              <w:left w:val="nil"/>
              <w:bottom w:val="nil"/>
              <w:right w:val="nil"/>
              <w:between w:val="nil"/>
            </w:pBdr>
            <w:spacing w:after="0" w:line="240" w:lineRule="auto"/>
            <w:rPr>
              <w:b/>
              <w:color w:val="4F81BD"/>
              <w:sz w:val="16"/>
              <w:szCs w:val="16"/>
            </w:rPr>
          </w:pPr>
          <w:r>
            <w:rPr>
              <w:b/>
              <w:noProof/>
              <w:color w:val="4F81BD"/>
              <w:sz w:val="16"/>
              <w:szCs w:val="16"/>
              <w:lang w:eastAsia="fr-FR"/>
            </w:rPr>
            <w:drawing>
              <wp:inline distT="114300" distB="114300" distL="114300" distR="114300">
                <wp:extent cx="941686" cy="651441"/>
                <wp:effectExtent l="0" t="0" r="0" b="0"/>
                <wp:docPr id="3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
                        <a:srcRect/>
                        <a:stretch>
                          <a:fillRect/>
                        </a:stretch>
                      </pic:blipFill>
                      <pic:spPr>
                        <a:xfrm>
                          <a:off x="0" y="0"/>
                          <a:ext cx="941686" cy="651441"/>
                        </a:xfrm>
                        <a:prstGeom prst="rect">
                          <a:avLst/>
                        </a:prstGeom>
                        <a:ln/>
                      </pic:spPr>
                    </pic:pic>
                  </a:graphicData>
                </a:graphic>
              </wp:inline>
            </w:drawing>
          </w:r>
        </w:p>
      </w:tc>
      <w:tc>
        <w:tcPr>
          <w:tcW w:w="2409" w:type="dxa"/>
          <w:shd w:val="clear" w:color="auto" w:fill="auto"/>
          <w:tcMar>
            <w:top w:w="100" w:type="dxa"/>
            <w:left w:w="100" w:type="dxa"/>
            <w:bottom w:w="100" w:type="dxa"/>
            <w:right w:w="100" w:type="dxa"/>
          </w:tcMar>
        </w:tcPr>
        <w:p w:rsidR="00003D35" w:rsidRDefault="00052173">
          <w:pPr>
            <w:tabs>
              <w:tab w:val="left" w:pos="7710"/>
            </w:tabs>
            <w:ind w:left="-567"/>
            <w:jc w:val="center"/>
            <w:rPr>
              <w:b/>
              <w:color w:val="4F81BD"/>
              <w:sz w:val="16"/>
              <w:szCs w:val="16"/>
            </w:rPr>
          </w:pPr>
          <w:bookmarkStart w:id="3" w:name="_heading=h.w6c51ew8ftvr" w:colFirst="0" w:colLast="0"/>
          <w:bookmarkEnd w:id="3"/>
          <w:r>
            <w:rPr>
              <w:b/>
              <w:noProof/>
              <w:color w:val="4F81BD"/>
              <w:sz w:val="16"/>
              <w:szCs w:val="16"/>
              <w:lang w:eastAsia="fr-FR"/>
            </w:rPr>
            <w:drawing>
              <wp:inline distT="114300" distB="114300" distL="114300" distR="114300">
                <wp:extent cx="1067584" cy="632391"/>
                <wp:effectExtent l="0" t="0" r="0" b="0"/>
                <wp:docPr id="3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067584" cy="632391"/>
                        </a:xfrm>
                        <a:prstGeom prst="rect">
                          <a:avLst/>
                        </a:prstGeom>
                        <a:ln/>
                      </pic:spPr>
                    </pic:pic>
                  </a:graphicData>
                </a:graphic>
              </wp:inline>
            </w:drawing>
          </w:r>
        </w:p>
      </w:tc>
      <w:tc>
        <w:tcPr>
          <w:tcW w:w="2409" w:type="dxa"/>
          <w:shd w:val="clear" w:color="auto" w:fill="auto"/>
          <w:tcMar>
            <w:top w:w="100" w:type="dxa"/>
            <w:left w:w="100" w:type="dxa"/>
            <w:bottom w:w="100" w:type="dxa"/>
            <w:right w:w="100" w:type="dxa"/>
          </w:tcMar>
        </w:tcPr>
        <w:p w:rsidR="00003D35" w:rsidRDefault="00052173">
          <w:pPr>
            <w:widowControl w:val="0"/>
            <w:pBdr>
              <w:top w:val="nil"/>
              <w:left w:val="nil"/>
              <w:bottom w:val="nil"/>
              <w:right w:val="nil"/>
              <w:between w:val="nil"/>
            </w:pBdr>
            <w:spacing w:after="0" w:line="240" w:lineRule="auto"/>
            <w:rPr>
              <w:b/>
              <w:color w:val="4F81BD"/>
              <w:sz w:val="16"/>
              <w:szCs w:val="16"/>
            </w:rPr>
          </w:pPr>
          <w:r>
            <w:rPr>
              <w:b/>
              <w:noProof/>
              <w:color w:val="4F81BD"/>
              <w:sz w:val="16"/>
              <w:szCs w:val="16"/>
              <w:lang w:eastAsia="fr-FR"/>
            </w:rPr>
            <w:drawing>
              <wp:inline distT="114300" distB="114300" distL="114300" distR="114300">
                <wp:extent cx="681503" cy="746691"/>
                <wp:effectExtent l="0" t="0" r="0" b="0"/>
                <wp:docPr id="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681503" cy="746691"/>
                        </a:xfrm>
                        <a:prstGeom prst="rect">
                          <a:avLst/>
                        </a:prstGeom>
                        <a:ln/>
                      </pic:spPr>
                    </pic:pic>
                  </a:graphicData>
                </a:graphic>
              </wp:inline>
            </w:drawing>
          </w:r>
        </w:p>
      </w:tc>
      <w:tc>
        <w:tcPr>
          <w:tcW w:w="2409" w:type="dxa"/>
          <w:shd w:val="clear" w:color="auto" w:fill="auto"/>
          <w:tcMar>
            <w:top w:w="100" w:type="dxa"/>
            <w:left w:w="100" w:type="dxa"/>
            <w:bottom w:w="100" w:type="dxa"/>
            <w:right w:w="100" w:type="dxa"/>
          </w:tcMar>
        </w:tcPr>
        <w:p w:rsidR="00003D35" w:rsidRDefault="00052173">
          <w:pPr>
            <w:widowControl w:val="0"/>
            <w:pBdr>
              <w:top w:val="nil"/>
              <w:left w:val="nil"/>
              <w:bottom w:val="nil"/>
              <w:right w:val="nil"/>
              <w:between w:val="nil"/>
            </w:pBdr>
            <w:spacing w:after="0" w:line="240" w:lineRule="auto"/>
            <w:rPr>
              <w:b/>
              <w:color w:val="4F81BD"/>
              <w:sz w:val="16"/>
              <w:szCs w:val="16"/>
            </w:rPr>
          </w:pPr>
          <w:r>
            <w:rPr>
              <w:noProof/>
              <w:lang w:eastAsia="fr-FR"/>
            </w:rPr>
            <w:drawing>
              <wp:anchor distT="0" distB="0" distL="114300" distR="114300" simplePos="0" relativeHeight="251658240" behindDoc="0" locked="0" layoutInCell="1" hidden="0" allowOverlap="1">
                <wp:simplePos x="0" y="0"/>
                <wp:positionH relativeFrom="column">
                  <wp:posOffset>171450</wp:posOffset>
                </wp:positionH>
                <wp:positionV relativeFrom="paragraph">
                  <wp:posOffset>152400</wp:posOffset>
                </wp:positionV>
                <wp:extent cx="933450" cy="516869"/>
                <wp:effectExtent l="0" t="0" r="0" b="0"/>
                <wp:wrapSquare wrapText="bothSides" distT="0" distB="0" distL="114300" distR="11430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933450" cy="516869"/>
                        </a:xfrm>
                        <a:prstGeom prst="rect">
                          <a:avLst/>
                        </a:prstGeom>
                        <a:ln/>
                      </pic:spPr>
                    </pic:pic>
                  </a:graphicData>
                </a:graphic>
              </wp:anchor>
            </w:drawing>
          </w:r>
        </w:p>
      </w:tc>
    </w:tr>
  </w:tbl>
  <w:p w:rsidR="00003D35" w:rsidRDefault="00003D35">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CC1"/>
    <w:multiLevelType w:val="multilevel"/>
    <w:tmpl w:val="54B060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D47556"/>
    <w:multiLevelType w:val="multilevel"/>
    <w:tmpl w:val="7EA035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8C2E62"/>
    <w:multiLevelType w:val="multilevel"/>
    <w:tmpl w:val="4138842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6A05A58"/>
    <w:multiLevelType w:val="multilevel"/>
    <w:tmpl w:val="719E1FE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6BF528B"/>
    <w:multiLevelType w:val="multilevel"/>
    <w:tmpl w:val="E674A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8D03CF5"/>
    <w:multiLevelType w:val="multilevel"/>
    <w:tmpl w:val="98AC86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D35"/>
    <w:rsid w:val="00003D35"/>
    <w:rsid w:val="0003302A"/>
    <w:rsid w:val="00052173"/>
    <w:rsid w:val="00073881"/>
    <w:rsid w:val="003A6327"/>
    <w:rsid w:val="007072B1"/>
    <w:rsid w:val="0073540C"/>
    <w:rsid w:val="0082192A"/>
    <w:rsid w:val="00B17C18"/>
    <w:rsid w:val="00C510E7"/>
    <w:rsid w:val="00F46A59"/>
    <w:rsid w:val="00FB4E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603A06-B2FA-AD41-967C-B519EE791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6C0"/>
    <w:rPr>
      <w:lang w:eastAsia="en-US"/>
    </w:rPr>
  </w:style>
  <w:style w:type="paragraph" w:styleId="Titre1">
    <w:name w:val="heading 1"/>
    <w:basedOn w:val="Normal"/>
    <w:next w:val="Normal"/>
    <w:link w:val="Titre1Car"/>
    <w:uiPriority w:val="9"/>
    <w:qFormat/>
    <w:rsid w:val="00165FAD"/>
    <w:pPr>
      <w:keepNext/>
      <w:keepLines/>
      <w:spacing w:before="480" w:after="0"/>
      <w:outlineLvl w:val="0"/>
    </w:pPr>
    <w:rPr>
      <w:rFonts w:ascii="Cambria" w:eastAsia="Times New Roman" w:hAnsi="Cambria" w:cs="Cambria"/>
      <w:b/>
      <w:bCs/>
      <w:color w:val="365F91"/>
      <w:sz w:val="28"/>
      <w:szCs w:val="2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rsid w:val="00E312A2"/>
    <w:pPr>
      <w:pBdr>
        <w:bottom w:val="single" w:sz="8" w:space="4" w:color="4F81BD"/>
      </w:pBdr>
      <w:spacing w:after="300" w:line="240" w:lineRule="auto"/>
      <w:contextualSpacing/>
    </w:pPr>
    <w:rPr>
      <w:rFonts w:ascii="Cambria" w:eastAsia="Times New Roman" w:hAnsi="Cambria" w:cs="Cambria"/>
      <w:color w:val="17365D"/>
      <w:spacing w:val="5"/>
      <w:kern w:val="28"/>
      <w:sz w:val="52"/>
      <w:szCs w:val="52"/>
    </w:rPr>
  </w:style>
  <w:style w:type="character" w:customStyle="1" w:styleId="Titre1Car">
    <w:name w:val="Titre 1 Car"/>
    <w:basedOn w:val="Policepardfaut"/>
    <w:link w:val="Titre1"/>
    <w:uiPriority w:val="99"/>
    <w:rsid w:val="00165FAD"/>
    <w:rPr>
      <w:rFonts w:ascii="Cambria" w:hAnsi="Cambria" w:cs="Cambria"/>
      <w:b/>
      <w:bCs/>
      <w:color w:val="365F91"/>
      <w:sz w:val="28"/>
      <w:szCs w:val="28"/>
    </w:rPr>
  </w:style>
  <w:style w:type="paragraph" w:styleId="Paragraphedeliste">
    <w:name w:val="List Paragraph"/>
    <w:basedOn w:val="Normal"/>
    <w:qFormat/>
    <w:rsid w:val="00DC2E7C"/>
    <w:pPr>
      <w:ind w:left="720"/>
      <w:contextualSpacing/>
    </w:pPr>
  </w:style>
  <w:style w:type="character" w:customStyle="1" w:styleId="TitreCar">
    <w:name w:val="Titre Car"/>
    <w:basedOn w:val="Policepardfaut"/>
    <w:link w:val="Titre"/>
    <w:uiPriority w:val="99"/>
    <w:rsid w:val="00E312A2"/>
    <w:rPr>
      <w:rFonts w:ascii="Cambria" w:hAnsi="Cambria" w:cs="Cambria"/>
      <w:color w:val="17365D"/>
      <w:spacing w:val="5"/>
      <w:kern w:val="28"/>
      <w:sz w:val="52"/>
      <w:szCs w:val="52"/>
    </w:rPr>
  </w:style>
  <w:style w:type="paragraph" w:styleId="Commentaire">
    <w:name w:val="annotation text"/>
    <w:basedOn w:val="Normal"/>
    <w:link w:val="CommentaireCar"/>
    <w:uiPriority w:val="99"/>
    <w:semiHidden/>
    <w:unhideWhenUsed/>
    <w:rsid w:val="00980F9F"/>
    <w:pPr>
      <w:spacing w:line="240" w:lineRule="auto"/>
    </w:pPr>
    <w:rPr>
      <w:rFonts w:cs="Times New Roman"/>
      <w:sz w:val="20"/>
      <w:szCs w:val="20"/>
    </w:rPr>
  </w:style>
  <w:style w:type="character" w:customStyle="1" w:styleId="CommentaireCar">
    <w:name w:val="Commentaire Car"/>
    <w:basedOn w:val="Policepardfaut"/>
    <w:link w:val="Commentaire"/>
    <w:uiPriority w:val="99"/>
    <w:semiHidden/>
    <w:rsid w:val="00980F9F"/>
    <w:rPr>
      <w:sz w:val="20"/>
      <w:szCs w:val="20"/>
      <w:lang w:eastAsia="en-US"/>
    </w:rPr>
  </w:style>
  <w:style w:type="paragraph" w:styleId="Notedebasdepage">
    <w:name w:val="footnote text"/>
    <w:basedOn w:val="Normal"/>
    <w:link w:val="NotedebasdepageCar"/>
    <w:uiPriority w:val="99"/>
    <w:semiHidden/>
    <w:unhideWhenUsed/>
    <w:rsid w:val="00EC3D88"/>
    <w:rPr>
      <w:sz w:val="20"/>
      <w:szCs w:val="20"/>
    </w:rPr>
  </w:style>
  <w:style w:type="character" w:customStyle="1" w:styleId="NotedebasdepageCar">
    <w:name w:val="Note de bas de page Car"/>
    <w:basedOn w:val="Policepardfaut"/>
    <w:link w:val="Notedebasdepage"/>
    <w:uiPriority w:val="99"/>
    <w:semiHidden/>
    <w:rsid w:val="00EC3D88"/>
    <w:rPr>
      <w:rFonts w:cs="Calibri"/>
      <w:sz w:val="20"/>
      <w:szCs w:val="20"/>
      <w:lang w:eastAsia="en-US"/>
    </w:rPr>
  </w:style>
  <w:style w:type="character" w:styleId="Appelnotedebasdep">
    <w:name w:val="footnote reference"/>
    <w:basedOn w:val="Policepardfaut"/>
    <w:uiPriority w:val="99"/>
    <w:semiHidden/>
    <w:unhideWhenUsed/>
    <w:rsid w:val="00EC3D88"/>
    <w:rPr>
      <w:vertAlign w:val="superscript"/>
    </w:rPr>
  </w:style>
  <w:style w:type="paragraph" w:styleId="En-tte">
    <w:name w:val="header"/>
    <w:basedOn w:val="Normal"/>
    <w:link w:val="En-tteCar"/>
    <w:uiPriority w:val="99"/>
    <w:unhideWhenUsed/>
    <w:rsid w:val="008069A8"/>
    <w:pPr>
      <w:tabs>
        <w:tab w:val="center" w:pos="4536"/>
        <w:tab w:val="right" w:pos="9072"/>
      </w:tabs>
      <w:spacing w:after="0" w:line="240" w:lineRule="auto"/>
    </w:pPr>
  </w:style>
  <w:style w:type="character" w:customStyle="1" w:styleId="En-tteCar">
    <w:name w:val="En-tête Car"/>
    <w:basedOn w:val="Policepardfaut"/>
    <w:link w:val="En-tte"/>
    <w:uiPriority w:val="99"/>
    <w:rsid w:val="008069A8"/>
    <w:rPr>
      <w:rFonts w:cs="Calibri"/>
      <w:lang w:eastAsia="en-US"/>
    </w:rPr>
  </w:style>
  <w:style w:type="paragraph" w:styleId="Pieddepage">
    <w:name w:val="footer"/>
    <w:basedOn w:val="Normal"/>
    <w:link w:val="PieddepageCar"/>
    <w:uiPriority w:val="99"/>
    <w:unhideWhenUsed/>
    <w:rsid w:val="008069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69A8"/>
    <w:rPr>
      <w:rFonts w:cs="Calibri"/>
      <w:lang w:eastAsia="en-US"/>
    </w:rPr>
  </w:style>
  <w:style w:type="table" w:styleId="Grilledutableau">
    <w:name w:val="Table Grid"/>
    <w:basedOn w:val="TableauNormal"/>
    <w:uiPriority w:val="59"/>
    <w:rsid w:val="00C40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596CDA"/>
  </w:style>
  <w:style w:type="paragraph" w:styleId="Textedebulles">
    <w:name w:val="Balloon Text"/>
    <w:basedOn w:val="Normal"/>
    <w:link w:val="TextedebullesCar"/>
    <w:uiPriority w:val="99"/>
    <w:semiHidden/>
    <w:unhideWhenUsed/>
    <w:rsid w:val="00F64C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64C57"/>
    <w:rPr>
      <w:rFonts w:ascii="Tahoma" w:hAnsi="Tahoma" w:cs="Tahoma"/>
      <w:sz w:val="16"/>
      <w:szCs w:val="16"/>
      <w:lang w:eastAsia="en-US"/>
    </w:rPr>
  </w:style>
  <w:style w:type="character" w:styleId="Marquedecommentaire">
    <w:name w:val="annotation reference"/>
    <w:basedOn w:val="Policepardfaut"/>
    <w:uiPriority w:val="99"/>
    <w:semiHidden/>
    <w:unhideWhenUsed/>
    <w:rsid w:val="00A620C7"/>
    <w:rPr>
      <w:sz w:val="16"/>
      <w:szCs w:val="16"/>
    </w:rPr>
  </w:style>
  <w:style w:type="paragraph" w:styleId="Objetducommentaire">
    <w:name w:val="annotation subject"/>
    <w:basedOn w:val="Commentaire"/>
    <w:next w:val="Commentaire"/>
    <w:link w:val="ObjetducommentaireCar"/>
    <w:uiPriority w:val="99"/>
    <w:semiHidden/>
    <w:unhideWhenUsed/>
    <w:rsid w:val="00A620C7"/>
    <w:rPr>
      <w:rFonts w:cs="Calibri"/>
      <w:b/>
      <w:bCs/>
    </w:rPr>
  </w:style>
  <w:style w:type="character" w:customStyle="1" w:styleId="ObjetducommentaireCar">
    <w:name w:val="Objet du commentaire Car"/>
    <w:basedOn w:val="CommentaireCar"/>
    <w:link w:val="Objetducommentaire"/>
    <w:uiPriority w:val="99"/>
    <w:semiHidden/>
    <w:rsid w:val="00A620C7"/>
    <w:rPr>
      <w:rFonts w:cs="Calibri"/>
      <w:b/>
      <w:bCs/>
      <w:sz w:val="20"/>
      <w:szCs w:val="20"/>
      <w:lang w:eastAsia="en-US"/>
    </w:rPr>
  </w:style>
  <w:style w:type="paragraph" w:styleId="NormalWeb">
    <w:name w:val="Normal (Web)"/>
    <w:basedOn w:val="Normal"/>
    <w:uiPriority w:val="99"/>
    <w:semiHidden/>
    <w:unhideWhenUsed/>
    <w:rsid w:val="0037353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Lienhypertexte">
    <w:name w:val="Hyperlink"/>
    <w:basedOn w:val="Policepardfaut"/>
    <w:uiPriority w:val="99"/>
    <w:unhideWhenUsed/>
    <w:rsid w:val="007354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hyperlink" Target="mailto:s.moukah-bellil@anact.fr" TargetMode="External"/><Relationship Id="rId2" Type="http://schemas.openxmlformats.org/officeDocument/2006/relationships/numbering" Target="numbering.xml"/><Relationship Id="rId16" Type="http://schemas.openxmlformats.org/officeDocument/2006/relationships/hyperlink" Target="mailto:p.simon@anact.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yperlink" Target="mailto:elise.blery@ars.sante.f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ric.bongrand@ars.sante.f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x8/HBNRhRpW2WrwW4e17t4sH9g==">AMUW2mWAL0nWMBA7YaKRcWz/xWSLnyKG8sE0fqToS647Lzro2uq3gfYuL9NjC8WGoOoWRR4eR/jw7i49Xzxkiw3FwGhJgGBgz6klIkWwTi6dh0uvsBCiywRqKA2oDn7fkMVh5Nm0rmKQpfNmfwWWBd2Kq5uxdvQhLi3K3ZJgtcuWFrdH3HsNWAo=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1668</Words>
  <Characters>9179</Characters>
  <Application>Microsoft Office Word</Application>
  <DocSecurity>4</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BONGRAND, Eric</dc:creator>
  <cp:lastModifiedBy>BONGRAND, Eric</cp:lastModifiedBy>
  <cp:revision>2</cp:revision>
  <dcterms:created xsi:type="dcterms:W3CDTF">2021-07-26T12:39:00Z</dcterms:created>
  <dcterms:modified xsi:type="dcterms:W3CDTF">2021-07-26T12:39:00Z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0x0101003B434280B7F2C44A878EE940E3DA649C00261DF614F2E0DA4F9F8EFFC728D558B400F543B8581875784187C6B3E2F423D6A3</vt:lpwstr>
  </property>
  <property fmtid="{D5CDD505-2E9C-101B-9397-08002B2CF9AE}" pid="3" name="TaxKeyword">
    <vt:lpwstr/>
  </property>
  <property fmtid="{D5CDD505-2E9C-101B-9397-08002B2CF9AE}" pid="4" name="Procesus">
    <vt:lpwstr>40;#Intervention|1cf9d7df-2b51-4c15-8323-78aa35ed062e</vt:lpwstr>
  </property>
  <property fmtid="{D5CDD505-2E9C-101B-9397-08002B2CF9AE}" pid="5" name="Structure/Département">
    <vt:lpwstr>97;#Réseau Anact-Aract|79adf7d4-7f82-4cf1-8626-60ead77082c7</vt:lpwstr>
  </property>
  <property fmtid="{D5CDD505-2E9C-101B-9397-08002B2CF9AE}" pid="6" name="Thème">
    <vt:lpwstr>122;#Sanitaire et social|0301d759-6981-4950-b7c4-d7c4c7c384cc;#37;#Qualité de vie au travail|5ef47875-8b3e-4cbb-8c94-ccf91f26070f</vt:lpwstr>
  </property>
  <property fmtid="{D5CDD505-2E9C-101B-9397-08002B2CF9AE}" pid="7" name="TaxKeywordTaxHTField">
    <vt:lpwstr/>
  </property>
</Properties>
</file>