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FE" w:rsidRDefault="00B169FE" w:rsidP="00B169FE">
      <w:r>
        <w:rPr>
          <w:noProof/>
          <w:lang w:eastAsia="fr-FR"/>
        </w:rPr>
        <mc:AlternateContent>
          <mc:Choice Requires="wps">
            <w:drawing>
              <wp:anchor distT="0" distB="0" distL="114300" distR="114300" simplePos="0" relativeHeight="251662336" behindDoc="0" locked="0" layoutInCell="1" allowOverlap="1" wp14:anchorId="32C20076" wp14:editId="57988303">
                <wp:simplePos x="0" y="0"/>
                <wp:positionH relativeFrom="column">
                  <wp:posOffset>-783590</wp:posOffset>
                </wp:positionH>
                <wp:positionV relativeFrom="paragraph">
                  <wp:posOffset>227330</wp:posOffset>
                </wp:positionV>
                <wp:extent cx="2747645" cy="9147810"/>
                <wp:effectExtent l="0" t="0" r="0" b="0"/>
                <wp:wrapNone/>
                <wp:docPr id="466" name="Zone de texte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914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9FE" w:rsidRPr="00170228" w:rsidRDefault="00B169FE" w:rsidP="00B169FE">
                            <w:pPr>
                              <w:rPr>
                                <w:rFonts w:ascii="Arial Rounded MT Bold" w:hAnsi="Arial Rounded MT Bold"/>
                                <w:color w:val="6D90C0"/>
                                <w:sz w:val="144"/>
                                <w:szCs w:val="300"/>
                              </w:rPr>
                            </w:pPr>
                            <w:r>
                              <w:rPr>
                                <w:rFonts w:ascii="Arial Rounded MT Bold" w:hAnsi="Arial Rounded MT Bold"/>
                                <w:color w:val="6D90C0"/>
                                <w:sz w:val="144"/>
                                <w:szCs w:val="300"/>
                              </w:rPr>
                              <w:t>CONTRAT</w:t>
                            </w:r>
                            <w:r w:rsidRPr="00170228">
                              <w:rPr>
                                <w:rFonts w:ascii="Arial Rounded MT Bold" w:hAnsi="Arial Rounded MT Bold"/>
                                <w:color w:val="6D90C0"/>
                                <w:sz w:val="144"/>
                                <w:szCs w:val="300"/>
                              </w:rPr>
                              <w:t xml:space="preserve"> TYPE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66" o:spid="_x0000_s1026" type="#_x0000_t202" style="position:absolute;margin-left:-61.7pt;margin-top:17.9pt;width:216.35pt;height:7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giwwIAAMYFAAAOAAAAZHJzL2Uyb0RvYy54bWysVEtvnDAQvlfqf7B8JzzqhQWFjZJlqSql&#10;DyntpTcvmMUq2NT2LhtF/e8dm30luVRROVjYM/5mvpnPc32z7zu0Y0pzKXIcXgUYMVHJmotNjn98&#10;L705RtpQUdNOCpbjR6bxzeL9u+txyFgkW9nVTCEAETobhxy3xgyZ7+uqZT3VV3JgAoyNVD01sFUb&#10;v1Z0BPS+86MgiP1RqnpQsmJaw2kxGfHC4TcNq8zXptHMoC7HkJtxq3Lr2q7+4ppmG0WHlleHNOgb&#10;sugpFxD0BFVQQ9FW8VdQPa+U1LIxV5Xsfdk0vGKOA7AJgxdsHlo6MMcFiqOHU5n0/4Otvuy+KcTr&#10;HJM4xkjQHpr0E1qFaoYM2xuGrAHKNA46A++HAfzN/k7uod2Osh7uZfVLIyGXLRUbdquUHFtGa0gz&#10;tDf9i6sTjrYg6/GzrCEa3RrpgPaN6m0NoSoI0KFdj6cWQSaogsMoIUlMZhhVYEtDksxD10SfZsfr&#10;g9LmI5M9sj85VqABB09399rYdGh2dLHRhCx51zkddOLZAThOJxAcrlqbTcO19SkN0tV8NSceieKV&#10;R4Ki8G7LJfHiMkxmxYdiuSzCPzZuSLKW1zUTNsxRYiH5txYexD6J4yQyLTteWzibklab9bJTaEdB&#10;4qX7XNHBcnbzn6fhigBcXlAKIxLcRalXxvPEIyWZeWkSzL0gTO/SOCApKcrnlO45CGV6vBDgrZTQ&#10;CK2cRbNJTeekX3AL3PeaG816bmCIdLzP8fzkRDOrwZWoXWsN5d30f1EKm/65FNDuY6OdYq1IJ7ma&#10;/XoPKFbGa1k/gnaVBGWBQGHywY9dowS2IwySHOvfW6oYRt0nAU8ARErs5HEbMksi2KhLy/rSQkXV&#10;SphPBqPpd2mmabUdFN+0EGx6dELewrNpuBP0ObHDY4Nh4XgdBpudRpd753Uev4u/AAAA//8DAFBL&#10;AwQUAAYACAAAACEAjeJJoOMAAAAMAQAADwAAAGRycy9kb3ducmV2LnhtbEyPy07DMBBF90j8gzVI&#10;7Fq7TSglxKkQiEpsUBvKgp0TD0mEHyF2m/TvGVawHM3Rvefmm8kadsIhdN5JWMwFMHS1151rJBze&#10;nmdrYCEqp5XxDiWcMcCmuLzIVab96PZ4KmPDKMSFTEloY+wzzkPdolVh7nt09Pv0g1WRzqHhelAj&#10;hVvDl0KsuFWdo4ZW9fjYYv1VHq2E9+r1bPZ98iG68WU3bb935dO2kfL6anq4BxZxin8w/OqTOhTk&#10;VPmj04EZCbPFMkmJlZDc0AYiEnGXAKsITW9XKfAi5/9HFD8AAAD//wMAUEsBAi0AFAAGAAgAAAAh&#10;ALaDOJL+AAAA4QEAABMAAAAAAAAAAAAAAAAAAAAAAFtDb250ZW50X1R5cGVzXS54bWxQSwECLQAU&#10;AAYACAAAACEAOP0h/9YAAACUAQAACwAAAAAAAAAAAAAAAAAvAQAAX3JlbHMvLnJlbHNQSwECLQAU&#10;AAYACAAAACEAjAsoIsMCAADGBQAADgAAAAAAAAAAAAAAAAAuAgAAZHJzL2Uyb0RvYy54bWxQSwEC&#10;LQAUAAYACAAAACEAjeJJoOMAAAAMAQAADwAAAAAAAAAAAAAAAAAdBQAAZHJzL2Rvd25yZXYueG1s&#10;UEsFBgAAAAAEAAQA8wAAAC0GAAAAAA==&#10;" filled="f" stroked="f">
                <v:textbox style="layout-flow:vertical;mso-layout-flow-alt:bottom-to-top">
                  <w:txbxContent>
                    <w:p w:rsidR="00B169FE" w:rsidRPr="00170228" w:rsidRDefault="00B169FE" w:rsidP="00B169FE">
                      <w:pPr>
                        <w:rPr>
                          <w:rFonts w:ascii="Arial Rounded MT Bold" w:hAnsi="Arial Rounded MT Bold"/>
                          <w:color w:val="6D90C0"/>
                          <w:sz w:val="144"/>
                          <w:szCs w:val="300"/>
                        </w:rPr>
                      </w:pPr>
                      <w:r>
                        <w:rPr>
                          <w:rFonts w:ascii="Arial Rounded MT Bold" w:hAnsi="Arial Rounded MT Bold"/>
                          <w:color w:val="6D90C0"/>
                          <w:sz w:val="144"/>
                          <w:szCs w:val="300"/>
                        </w:rPr>
                        <w:t>CONTRAT</w:t>
                      </w:r>
                      <w:r w:rsidRPr="00170228">
                        <w:rPr>
                          <w:rFonts w:ascii="Arial Rounded MT Bold" w:hAnsi="Arial Rounded MT Bold"/>
                          <w:color w:val="6D90C0"/>
                          <w:sz w:val="144"/>
                          <w:szCs w:val="300"/>
                        </w:rPr>
                        <w:t xml:space="preserve"> TYPE</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10E6E342" wp14:editId="04A9144D">
                <wp:simplePos x="0" y="0"/>
                <wp:positionH relativeFrom="column">
                  <wp:posOffset>-1082040</wp:posOffset>
                </wp:positionH>
                <wp:positionV relativeFrom="paragraph">
                  <wp:posOffset>-965200</wp:posOffset>
                </wp:positionV>
                <wp:extent cx="3016885" cy="10960100"/>
                <wp:effectExtent l="0" t="0" r="0" b="0"/>
                <wp:wrapNone/>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85.2pt;margin-top:-76pt;width:237.55pt;height:8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5hAIAAAEFAAAOAAAAZHJzL2Uyb0RvYy54bWysVFFv0zAQfkfiP1h+75KUtE2iptPWrghp&#10;wMTgB7i201g4trHdpgXx3zk77eiAB4RoJefOdz5/d/ed59eHTqI9t05oVePsKsWIK6qZUNsaf/q4&#10;HhUYOU8UI1IrXuMjd/h68fLFvDcVH+tWS8YtgiDKVb2pceu9qZLE0ZZ3xF1pwxUYG2074kG124RZ&#10;0kP0TibjNJ0mvbbMWE25c7C7Gox4EeM3Daf+fdM47pGsMWDzcbVx3YQ1WcxJtbXEtIKeYJB/QNER&#10;oeDSp1Ar4gnaWfFbqE5Qq51u/BXVXaKbRlAec4BssvSXbB5bYnjMBYrjzFOZ3P8LS9/tHywSrMb5&#10;dIKRIh006QOUjait5ChsQol64yrwfDQPNiTpzL2mnx1SetmCH7+xVvctJwyAZcE/eXYgKA6Ook3/&#10;VjOIT3Zex2odGtuFgFAHdIhNOT41hR88orD5Ks2mRQHYKNiytJxCnWLfElKdzxvr/GuuOxSEGlvA&#10;H+OT/b3zAQ+pzi4Rv5aCrYWUUbHbzVJatCdAkexukpd3MQVI89JNquCsdDg2RBx2ACbcEWwBcGz5&#10;tzIb5+ntuBytp8VslK/zyaicpcUozcpbwJ+X+Wr9PQDM8qoVjHF1LxQ/0y/L/669p0EYiBMJiPoa&#10;l5PxJOb+DL27THJVhP+fkuyEh2mUoqtxkYZfcCJVaO2dYlH2RMhBTp7Dj1WGGpy/sSqRCKH3A4c2&#10;mh2BB1ZDk2Aa4d0AodX2K0Y9zGCN3ZcdsRwj+UYBl8osz8PQRiWfzMag2EvL5tJCFIVQNfYYDeLS&#10;D4O+M1ZsW7gpi4VR+gb414hIjMDNAdWJtTBnMYPTmxAG+VKPXj9frsUPAAAA//8DAFBLAwQUAAYA&#10;CAAAACEAuEFEHeMAAAAOAQAADwAAAGRycy9kb3ducmV2LnhtbEyPy07DMBBF90j8gzVIbFBrt6QE&#10;hTgVRGLDAomAUJdu7OZBPI5sp03/nukKdjOaozvn5tvZDuxofOgcSlgtBTCDtdMdNhK+Pl8Xj8BC&#10;VKjV4NBIOJsA2+L6KleZdif8MMcqNoxCMGRKQhvjmHEe6tZYFZZuNEi3g/NWRVp9w7VXJwq3A18L&#10;8cCt6pA+tGo0ZWvqn2qyEni5++79Xd+f3Zs6TO8vZb3rKilvb+bnJ2DRzPEPhos+qUNBTns3oQ5s&#10;kLBYpSIh9jJt1lSLmHuRpMD2BG/SRAAvcv6/RvELAAD//wMAUEsBAi0AFAAGAAgAAAAhALaDOJL+&#10;AAAA4QEAABMAAAAAAAAAAAAAAAAAAAAAAFtDb250ZW50X1R5cGVzXS54bWxQSwECLQAUAAYACAAA&#10;ACEAOP0h/9YAAACUAQAACwAAAAAAAAAAAAAAAAAvAQAAX3JlbHMvLnJlbHNQSwECLQAUAAYACAAA&#10;ACEAfpjleYQCAAABBQAADgAAAAAAAAAAAAAAAAAuAgAAZHJzL2Uyb0RvYy54bWxQSwECLQAUAAYA&#10;CAAAACEAuEFEHeMAAAAOAQAADwAAAAAAAAAAAAAAAADeBAAAZHJzL2Rvd25yZXYueG1sUEsFBgAA&#10;AAAEAAQA8wAAAO4FAAAAAA==&#10;" fillcolor="#1e549e" stroked="f" strokecolor="#d8d8d8"/>
            </w:pict>
          </mc:Fallback>
        </mc:AlternateContent>
      </w:r>
    </w:p>
    <w:p w:rsidR="00B169FE" w:rsidRPr="00222FD7" w:rsidRDefault="00B169FE" w:rsidP="00B169FE">
      <w:pPr>
        <w:spacing w:after="200" w:line="276" w:lineRule="auto"/>
        <w:rPr>
          <w:rFonts w:cs="Arial"/>
          <w:bCs/>
          <w:color w:val="164194"/>
          <w:spacing w:val="200"/>
          <w:szCs w:val="20"/>
        </w:rPr>
      </w:pPr>
      <w:r>
        <w:rPr>
          <w:noProof/>
          <w:lang w:eastAsia="fr-FR"/>
        </w:rPr>
        <mc:AlternateContent>
          <mc:Choice Requires="wps">
            <w:drawing>
              <wp:anchor distT="0" distB="0" distL="114300" distR="114300" simplePos="0" relativeHeight="251664384" behindDoc="0" locked="0" layoutInCell="1" allowOverlap="1" wp14:anchorId="313772E5" wp14:editId="373F8CDD">
                <wp:simplePos x="0" y="0"/>
                <wp:positionH relativeFrom="column">
                  <wp:posOffset>1934210</wp:posOffset>
                </wp:positionH>
                <wp:positionV relativeFrom="paragraph">
                  <wp:posOffset>8711921</wp:posOffset>
                </wp:positionV>
                <wp:extent cx="2915742" cy="504748"/>
                <wp:effectExtent l="0" t="0" r="0" b="0"/>
                <wp:wrapNone/>
                <wp:docPr id="448" name="Zone de texte 448"/>
                <wp:cNvGraphicFramePr/>
                <a:graphic xmlns:a="http://schemas.openxmlformats.org/drawingml/2006/main">
                  <a:graphicData uri="http://schemas.microsoft.com/office/word/2010/wordprocessingShape">
                    <wps:wsp>
                      <wps:cNvSpPr txBox="1"/>
                      <wps:spPr>
                        <a:xfrm>
                          <a:off x="0" y="0"/>
                          <a:ext cx="2915742" cy="5047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69FE" w:rsidRDefault="00B169FE" w:rsidP="00B169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48" o:spid="_x0000_s1027" type="#_x0000_t202" style="position:absolute;margin-left:152.3pt;margin-top:686pt;width:229.6pt;height:3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xSlAIAAJoFAAAOAAAAZHJzL2Uyb0RvYy54bWysVEtv2zAMvg/YfxB0X5xkTrsGdYosRYcB&#10;RVusHQrspshSI0wSNUmJnf76UbLzWNdLh11sSvxIih8f5xet0WQjfFBgKzoaDCkRlkOt7FNFvz9c&#10;ffhESYjM1kyDFRXdikAvZu/fnTduKsawAl0LT9CJDdPGVXQVo5sWReArYVgYgBMWlRK8YRGP/qmo&#10;PWvQu9HFeDg8KRrwtfPARQh4e9kp6Sz7l1LweCtlEJHoiuLbYv76/F2mbzE7Z9Mnz9xK8f4Z7B9e&#10;YZiyGHTv6pJFRtZe/eXKKO4hgIwDDqYAKRUXOQfMZjR8kc39ijmRc0FygtvTFP6fW36zufNE1RUt&#10;SyyVZQaL9ANLRWpBomijIEmBNDUuTBF97xAf28/QYrl39wEvU/at9Cb9MS+CeiR8uycZfRGOl+Oz&#10;0eS0HFPCUTcZlqed++Jg7XyIXwQYkoSKeixi5pZtrkPElyB0B0nBAmhVXymt8yE1jlhoTzYMS65j&#10;fiNa/IHSljQVPfk4GWbHFpJ551nb5Ebk1unDpcy7DLMUt1okjLbfhETqcqKvxGacC7uPn9EJJTHU&#10;Wwx7/OFVbzHu8kCLHBls3BsbZcHn7POsHSirf+4okx0eCT/KO4mxXba5Z/YNsIR6i33hoRuw4PiV&#10;wuJdsxDvmMeJwlbALRFv8SM1IPnQS5SswD+/dp/w2OiopaTBCa1o+LVmXlCiv1ocgbNRWaaRzody&#10;cjrGgz/WLI81dm0WgB0xwn3keBYTPuqdKD2YR1wm8xQVVcxyjF3RuBMXsdsbuIy4mM8zCIfYsXht&#10;7x1PrhPLqTUf2kfmXd+/aYpuYDfLbPqijTtssrQwX0eQKvd44rljtecfF0Bu/X5ZpQ1zfM6ow0qd&#10;/QYAAP//AwBQSwMEFAAGAAgAAAAhAI7araPjAAAADQEAAA8AAABkcnMvZG93bnJldi54bWxMj0tP&#10;hEAQhO8m/odJm3gx7rDLAgYZNsb4SLy5+Ii3WaYFItNDmFnAf2970mNXfamuKnaL7cWEo+8cKViv&#10;IhBItTMdNQpeqvvLKxA+aDK6d4QKvtHDrjw9KXRu3EzPOO1DIziEfK4VtCEMuZS+btFqv3IDEnuf&#10;brQ68Dk20ox65nDby00UpdLqjvhDqwe8bbH+2h+tgo+L5v3JLw+vc5zEw93jVGVvplLq/Gy5uQYR&#10;cAl/MPzW5+pQcqeDO5LxolcQR9uUUTbibMOrGMnSmNccWNom6wRkWcj/K8ofAAAA//8DAFBLAQIt&#10;ABQABgAIAAAAIQC2gziS/gAAAOEBAAATAAAAAAAAAAAAAAAAAAAAAABbQ29udGVudF9UeXBlc10u&#10;eG1sUEsBAi0AFAAGAAgAAAAhADj9If/WAAAAlAEAAAsAAAAAAAAAAAAAAAAALwEAAF9yZWxzLy5y&#10;ZWxzUEsBAi0AFAAGAAgAAAAhADK0bFKUAgAAmgUAAA4AAAAAAAAAAAAAAAAALgIAAGRycy9lMm9E&#10;b2MueG1sUEsBAi0AFAAGAAgAAAAhAI7araPjAAAADQEAAA8AAAAAAAAAAAAAAAAA7gQAAGRycy9k&#10;b3ducmV2LnhtbFBLBQYAAAAABAAEAPMAAAD+BQAAAAA=&#10;" fillcolor="white [3201]" stroked="f" strokeweight=".5pt">
                <v:textbox>
                  <w:txbxContent>
                    <w:p w:rsidR="00B169FE" w:rsidRDefault="00B169FE" w:rsidP="00B169FE"/>
                  </w:txbxContent>
                </v:textbox>
              </v:shape>
            </w:pict>
          </mc:Fallback>
        </mc:AlternateContent>
      </w:r>
      <w:r>
        <w:rPr>
          <w:noProof/>
          <w:lang w:eastAsia="fr-FR"/>
        </w:rPr>
        <mc:AlternateContent>
          <mc:Choice Requires="wps">
            <w:drawing>
              <wp:anchor distT="0" distB="0" distL="114299" distR="114299" simplePos="0" relativeHeight="251663360" behindDoc="0" locked="0" layoutInCell="1" allowOverlap="1" wp14:anchorId="1C0BD3AD" wp14:editId="0CC46214">
                <wp:simplePos x="0" y="0"/>
                <wp:positionH relativeFrom="column">
                  <wp:posOffset>2396489</wp:posOffset>
                </wp:positionH>
                <wp:positionV relativeFrom="paragraph">
                  <wp:posOffset>3347720</wp:posOffset>
                </wp:positionV>
                <wp:extent cx="0" cy="2019300"/>
                <wp:effectExtent l="19050" t="0" r="38100" b="19050"/>
                <wp:wrapNone/>
                <wp:docPr id="464" name="Connecteur droit avec flèch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0"/>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64" o:spid="_x0000_s1026" type="#_x0000_t32" style="position:absolute;margin-left:188.7pt;margin-top:263.6pt;width:0;height:159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rTNwIAAFQEAAAOAAAAZHJzL2Uyb0RvYy54bWysVEtu2zAQ3RfoHQjuHUmJ4sRC5KCV7G7S&#10;NkDSA9AkZRGlOARJWzaK3qf36MU6pD9I2k1RdEMNyZk3b2YedXe/GzTZSucVmJoWFzkl0nAQyqxr&#10;+uV5ObmlxAdmBNNgZE330tP7+ds3d6Ot5CX0oIV0BEGMr0Zb0z4EW2WZ570cmL8AKw1eduAGFnDr&#10;1plwbET0QWeXeT7NRnDCOuDSezxtD5d0nvC7TvLwueu8DETXFLmFtLq0ruKaze9YtXbM9oofabB/&#10;YDEwZTDpGaplgZGNU39ADYo78NCFCw5DBl2nuEw1YDVF/ls1Tz2zMtWCzfH23Cb//2D5p+2jI0rU&#10;tJyWlBg24JAaMAY7JzeOCAcqELaVnHT65w8cC4mO2LbR+gqjG/PoYuF8Z57sA/CvnhhoembWMtF/&#10;3ltELGJE9iokbrzF5KvxIwj0YZsAqYe7zg0RErtDdmlU+/Oo5C4QfjjkeIpNm13laYwZq06B1vnw&#10;QcJAolFTHxxT6z4cywJXpDRs++BDpMWqU0DMamCptE660IaMNb2+Ka7zFOFBKxFvo59361WjHdky&#10;lNbs5v0yb1ORePPSzcHGiITWSyYWRzswpQ82Ztcm4mFlyOdoHbTzbZbPFreL23JSXk4XkzJv28m7&#10;ZVNOpsvi5rq9apumLb5HakVZ9UoIaSK7k46L8u90cnxRBwWelXzuQ/YaPTUMyZ6+iXQabZzmQRcr&#10;EPtHdxo5Sjc5H59ZfBsv92i//BnMfwEAAP//AwBQSwMEFAAGAAgAAAAhAJmplV/fAAAACwEAAA8A&#10;AABkcnMvZG93bnJldi54bWxMj8FOwzAMhu9IvENkJG4sbVjJKHUnhMQJCbEOqde0ydqKxilNtpW3&#10;J4gDHG1/+v39xXaxIzuZ2Q+OENJVAsxQ6/RAHcL7/vlmA8wHRVqNjgzCl/GwLS8vCpVrd6adOVWh&#10;YzGEfK4Q+hCmnHPf9sYqv3KToXg7uNmqEMe543pW5xhuRy6S5I5bNVD80KvJPPWm/aiOFuFQy/pN&#10;7t2nTMX9a/pSV02mB8Trq+XxAVgwS/iD4Uc/qkMZnRp3JO3ZiHAr5TqiCJmQAlgkfjcNwmadCeBl&#10;wf93KL8BAAD//wMAUEsBAi0AFAAGAAgAAAAhALaDOJL+AAAA4QEAABMAAAAAAAAAAAAAAAAAAAAA&#10;AFtDb250ZW50X1R5cGVzXS54bWxQSwECLQAUAAYACAAAACEAOP0h/9YAAACUAQAACwAAAAAAAAAA&#10;AAAAAAAvAQAAX3JlbHMvLnJlbHNQSwECLQAUAAYACAAAACEAgp8q0zcCAABUBAAADgAAAAAAAAAA&#10;AAAAAAAuAgAAZHJzL2Uyb0RvYy54bWxQSwECLQAUAAYACAAAACEAmamVX98AAAALAQAADwAAAAAA&#10;AAAAAAAAAACRBAAAZHJzL2Rvd25yZXYueG1sUEsFBgAAAAAEAAQA8wAAAJ0FAAAAAA==&#10;" strokecolor="#97bf0d" strokeweight="4.5pt"/>
            </w:pict>
          </mc:Fallback>
        </mc:AlternateContent>
      </w:r>
      <w:r>
        <w:rPr>
          <w:noProof/>
          <w:lang w:eastAsia="fr-FR"/>
        </w:rPr>
        <mc:AlternateContent>
          <mc:Choice Requires="wps">
            <w:drawing>
              <wp:anchor distT="0" distB="0" distL="114300" distR="114300" simplePos="0" relativeHeight="251661312" behindDoc="0" locked="0" layoutInCell="1" allowOverlap="1" wp14:anchorId="64F33EA7" wp14:editId="62B77F02">
                <wp:simplePos x="0" y="0"/>
                <wp:positionH relativeFrom="column">
                  <wp:posOffset>2564765</wp:posOffset>
                </wp:positionH>
                <wp:positionV relativeFrom="paragraph">
                  <wp:posOffset>3209925</wp:posOffset>
                </wp:positionV>
                <wp:extent cx="3820795" cy="4968875"/>
                <wp:effectExtent l="0" t="0" r="0" b="3175"/>
                <wp:wrapNone/>
                <wp:docPr id="463" name="Zone de texte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txbx>
                        <w:txbxContent>
                          <w:p w:rsidR="00B169FE" w:rsidRPr="00222FD7" w:rsidRDefault="00B169FE" w:rsidP="00B169FE">
                            <w:pPr>
                              <w:rPr>
                                <w:rFonts w:ascii="Arial Rounded MT Bold" w:hAnsi="Arial Rounded MT Bold" w:cs="Arial"/>
                                <w:b/>
                                <w:color w:val="1E549E"/>
                                <w:sz w:val="48"/>
                                <w:szCs w:val="56"/>
                              </w:rPr>
                            </w:pPr>
                            <w:r w:rsidRPr="00222FD7">
                              <w:rPr>
                                <w:rFonts w:ascii="Arial Rounded MT Bold" w:hAnsi="Arial Rounded MT Bold" w:cs="Arial"/>
                                <w:b/>
                                <w:color w:val="1E549E"/>
                                <w:sz w:val="48"/>
                                <w:szCs w:val="56"/>
                              </w:rPr>
                              <w:t xml:space="preserve">Demande de </w:t>
                            </w:r>
                            <w:r>
                              <w:rPr>
                                <w:rFonts w:ascii="Arial Rounded MT Bold" w:hAnsi="Arial Rounded MT Bold" w:cs="Arial"/>
                                <w:b/>
                                <w:color w:val="1E549E"/>
                                <w:sz w:val="48"/>
                                <w:szCs w:val="56"/>
                              </w:rPr>
                              <w:t xml:space="preserve">coopération / </w:t>
                            </w:r>
                            <w:r w:rsidRPr="00222FD7">
                              <w:rPr>
                                <w:rFonts w:ascii="Arial Rounded MT Bold" w:hAnsi="Arial Rounded MT Bold" w:cs="Arial"/>
                                <w:b/>
                                <w:color w:val="1E549E"/>
                                <w:sz w:val="48"/>
                                <w:szCs w:val="56"/>
                              </w:rPr>
                              <w:t xml:space="preserve">sous-traitance </w:t>
                            </w:r>
                          </w:p>
                          <w:p w:rsidR="00B169FE" w:rsidRPr="00222FD7" w:rsidRDefault="00B169FE" w:rsidP="00B169FE">
                            <w:pPr>
                              <w:rPr>
                                <w:rFonts w:ascii="Arial Rounded MT Bold" w:hAnsi="Arial Rounded MT Bold" w:cs="Arial"/>
                                <w:b/>
                                <w:color w:val="1E549E"/>
                                <w:sz w:val="48"/>
                                <w:szCs w:val="56"/>
                              </w:rPr>
                            </w:pPr>
                            <w:proofErr w:type="gramStart"/>
                            <w:r w:rsidRPr="00222FD7">
                              <w:rPr>
                                <w:rFonts w:ascii="Arial Rounded MT Bold" w:hAnsi="Arial Rounded MT Bold" w:cs="Arial"/>
                                <w:b/>
                                <w:color w:val="1E549E"/>
                                <w:sz w:val="48"/>
                                <w:szCs w:val="56"/>
                              </w:rPr>
                              <w:t>de</w:t>
                            </w:r>
                            <w:proofErr w:type="gramEnd"/>
                            <w:r w:rsidRPr="00222FD7">
                              <w:rPr>
                                <w:rFonts w:ascii="Arial Rounded MT Bold" w:hAnsi="Arial Rounded MT Bold" w:cs="Arial"/>
                                <w:b/>
                                <w:color w:val="1E549E"/>
                                <w:sz w:val="48"/>
                                <w:szCs w:val="56"/>
                              </w:rPr>
                              <w:t xml:space="preserve"> la préparation </w:t>
                            </w:r>
                          </w:p>
                          <w:p w:rsidR="00B169FE" w:rsidRPr="00222FD7" w:rsidRDefault="00B169FE" w:rsidP="00B169FE">
                            <w:pPr>
                              <w:rPr>
                                <w:rFonts w:ascii="Arial Rounded MT Bold" w:hAnsi="Arial Rounded MT Bold" w:cs="Arial"/>
                                <w:color w:val="1E549E"/>
                                <w:sz w:val="52"/>
                                <w:szCs w:val="56"/>
                              </w:rPr>
                            </w:pPr>
                            <w:proofErr w:type="gramStart"/>
                            <w:r w:rsidRPr="00222FD7">
                              <w:rPr>
                                <w:rFonts w:ascii="Arial Rounded MT Bold" w:hAnsi="Arial Rounded MT Bold" w:cs="Arial"/>
                                <w:b/>
                                <w:color w:val="1E549E"/>
                                <w:sz w:val="48"/>
                                <w:szCs w:val="56"/>
                              </w:rPr>
                              <w:t>des</w:t>
                            </w:r>
                            <w:proofErr w:type="gramEnd"/>
                            <w:r w:rsidRPr="00222FD7">
                              <w:rPr>
                                <w:rFonts w:ascii="Arial Rounded MT Bold" w:hAnsi="Arial Rounded MT Bold" w:cs="Arial"/>
                                <w:b/>
                                <w:color w:val="1E549E"/>
                                <w:sz w:val="48"/>
                                <w:szCs w:val="56"/>
                              </w:rPr>
                              <w:t xml:space="preserve"> médicaments anticancéreux stériles </w:t>
                            </w:r>
                          </w:p>
                          <w:p w:rsidR="00B169FE" w:rsidRPr="00222FD7" w:rsidRDefault="00B169FE" w:rsidP="00B169FE">
                            <w:pPr>
                              <w:rPr>
                                <w:rFonts w:cs="Arial"/>
                                <w:b/>
                                <w:color w:val="1E549E"/>
                                <w:sz w:val="56"/>
                                <w:szCs w:val="56"/>
                              </w:rPr>
                            </w:pPr>
                          </w:p>
                          <w:p w:rsidR="00B169FE" w:rsidRPr="00222FD7" w:rsidRDefault="00B169FE" w:rsidP="00B169FE">
                            <w:pPr>
                              <w:rPr>
                                <w:rFonts w:cs="Arial"/>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63" o:spid="_x0000_s1028" type="#_x0000_t202" style="position:absolute;margin-left:201.95pt;margin-top:252.75pt;width:300.85pt;height:3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hXSQIAAIkEAAAOAAAAZHJzL2Uyb0RvYy54bWysVE2P2yAQvVfqf0DcGzvfiRVnle4qVaVo&#10;d6VstVJvBOPYqmEokNjpr++A7Wy07anqBQPzmI/3Zry6a2RFzsLYElRKh4OYEqE4ZKU6pvTby/bT&#10;ghLrmMpYBUqk9CIsvVt//LCqdSJGUECVCUPQibJJrVNaOKeTKLK8EJLZAWih0JiDkczh0RyjzLAa&#10;vcsqGsXxLKrBZNoAF9bi7UNrpOvgP88Fd095boUjVUoxNxdWE9aDX6P1iiVHw3RR8i4N9g9ZSFYq&#10;DHp19cAcIydT/uFKltyAhdwNOMgI8rzkItSA1Qzjd9XsC6ZFqAXJsfpKk/1/bvnj+dmQMkvpZDam&#10;RDGJIn1HqUgmiBONE8QbkKZa2wTRe41413yGBuUOJVu9A/7DIiS6wbQPLKI9LU1upP9iwQQfohKX&#10;K/sYhHC8HC9G8Xw5pYSjbbKcLRbzqQ8cvT3XxrovAiTxm5QalDekwM4761poD/HRFGzLqsJ7llSK&#10;1CmdjadxeHC1oPNKeYAIzdK58XW0qfudaw5NoGjU83CA7II0GGj7yWq+LTGjHbPumRlsICwQh8I9&#10;4ZJXgJGh21FSgPn1t3uPR13RSkmNDZlS+/PEjKCk+qpQ8eVwMvEdHA6T6XyEB3NrOdxa1EneA/b8&#10;EMdP87D1eFf129yAfMXZ2fioaGKKY+yUun5779oxwdnjYrMJIOxZzdxO7TXv1fd8vzSvzOhOFN80&#10;j9C3LkveadNiW3U2Jwd5GYTzPLesdm2E/R6k72bTD9TtOaDe/iDr3wAAAP//AwBQSwMEFAAGAAgA&#10;AAAhAA1DUEfiAAAADQEAAA8AAABkcnMvZG93bnJldi54bWxMj8tOwzAQRfdI/IM1SOyoTSFtCHGq&#10;CsEGCVWUShW7aTzEAT+C7bbh73FXsJvRHN05t16M1rADhdh7J+F6IoCRa73qXSdh8/Z0VQKLCZ1C&#10;4x1J+KEIi+b8rMZK+aN7pcM6dSyHuFihBJ3SUHEeW00W48QP5PLtwweLKa+h4yrgMYdbw6dCzLjF&#10;3uUPGgd60NR+rfdWwrx8V/ozPI+b7cvyW68Gbh6RS3l5MS7vgSUa0x8MJ/2sDk122vm9U5EZCbfi&#10;5i6jEgpRFMBOhBDFDNguT9OyFMCbmv9v0fwCAAD//wMAUEsBAi0AFAAGAAgAAAAhALaDOJL+AAAA&#10;4QEAABMAAAAAAAAAAAAAAAAAAAAAAFtDb250ZW50X1R5cGVzXS54bWxQSwECLQAUAAYACAAAACEA&#10;OP0h/9YAAACUAQAACwAAAAAAAAAAAAAAAAAvAQAAX3JlbHMvLnJlbHNQSwECLQAUAAYACAAAACEA&#10;GohYV0kCAACJBAAADgAAAAAAAAAAAAAAAAAuAgAAZHJzL2Uyb0RvYy54bWxQSwECLQAUAAYACAAA&#10;ACEADUNQR+IAAAANAQAADwAAAAAAAAAAAAAAAACjBAAAZHJzL2Rvd25yZXYueG1sUEsFBgAAAAAE&#10;AAQA8wAAALIFAAAAAA==&#10;" filled="f" stroked="f" strokeweight=".5pt">
                <v:path arrowok="t"/>
                <v:textbox>
                  <w:txbxContent>
                    <w:p w:rsidR="00B169FE" w:rsidRPr="00222FD7" w:rsidRDefault="00B169FE" w:rsidP="00B169FE">
                      <w:pPr>
                        <w:rPr>
                          <w:rFonts w:ascii="Arial Rounded MT Bold" w:hAnsi="Arial Rounded MT Bold" w:cs="Arial"/>
                          <w:b/>
                          <w:color w:val="1E549E"/>
                          <w:sz w:val="48"/>
                          <w:szCs w:val="56"/>
                        </w:rPr>
                      </w:pPr>
                      <w:r w:rsidRPr="00222FD7">
                        <w:rPr>
                          <w:rFonts w:ascii="Arial Rounded MT Bold" w:hAnsi="Arial Rounded MT Bold" w:cs="Arial"/>
                          <w:b/>
                          <w:color w:val="1E549E"/>
                          <w:sz w:val="48"/>
                          <w:szCs w:val="56"/>
                        </w:rPr>
                        <w:t xml:space="preserve">Demande de </w:t>
                      </w:r>
                      <w:r>
                        <w:rPr>
                          <w:rFonts w:ascii="Arial Rounded MT Bold" w:hAnsi="Arial Rounded MT Bold" w:cs="Arial"/>
                          <w:b/>
                          <w:color w:val="1E549E"/>
                          <w:sz w:val="48"/>
                          <w:szCs w:val="56"/>
                        </w:rPr>
                        <w:t xml:space="preserve">coopération / </w:t>
                      </w:r>
                      <w:r w:rsidRPr="00222FD7">
                        <w:rPr>
                          <w:rFonts w:ascii="Arial Rounded MT Bold" w:hAnsi="Arial Rounded MT Bold" w:cs="Arial"/>
                          <w:b/>
                          <w:color w:val="1E549E"/>
                          <w:sz w:val="48"/>
                          <w:szCs w:val="56"/>
                        </w:rPr>
                        <w:t xml:space="preserve">sous-traitance </w:t>
                      </w:r>
                    </w:p>
                    <w:p w:rsidR="00B169FE" w:rsidRPr="00222FD7" w:rsidRDefault="00B169FE" w:rsidP="00B169FE">
                      <w:pPr>
                        <w:rPr>
                          <w:rFonts w:ascii="Arial Rounded MT Bold" w:hAnsi="Arial Rounded MT Bold" w:cs="Arial"/>
                          <w:b/>
                          <w:color w:val="1E549E"/>
                          <w:sz w:val="48"/>
                          <w:szCs w:val="56"/>
                        </w:rPr>
                      </w:pPr>
                      <w:proofErr w:type="gramStart"/>
                      <w:r w:rsidRPr="00222FD7">
                        <w:rPr>
                          <w:rFonts w:ascii="Arial Rounded MT Bold" w:hAnsi="Arial Rounded MT Bold" w:cs="Arial"/>
                          <w:b/>
                          <w:color w:val="1E549E"/>
                          <w:sz w:val="48"/>
                          <w:szCs w:val="56"/>
                        </w:rPr>
                        <w:t>de</w:t>
                      </w:r>
                      <w:proofErr w:type="gramEnd"/>
                      <w:r w:rsidRPr="00222FD7">
                        <w:rPr>
                          <w:rFonts w:ascii="Arial Rounded MT Bold" w:hAnsi="Arial Rounded MT Bold" w:cs="Arial"/>
                          <w:b/>
                          <w:color w:val="1E549E"/>
                          <w:sz w:val="48"/>
                          <w:szCs w:val="56"/>
                        </w:rPr>
                        <w:t xml:space="preserve"> la préparation </w:t>
                      </w:r>
                    </w:p>
                    <w:p w:rsidR="00B169FE" w:rsidRPr="00222FD7" w:rsidRDefault="00B169FE" w:rsidP="00B169FE">
                      <w:pPr>
                        <w:rPr>
                          <w:rFonts w:ascii="Arial Rounded MT Bold" w:hAnsi="Arial Rounded MT Bold" w:cs="Arial"/>
                          <w:color w:val="1E549E"/>
                          <w:sz w:val="52"/>
                          <w:szCs w:val="56"/>
                        </w:rPr>
                      </w:pPr>
                      <w:proofErr w:type="gramStart"/>
                      <w:r w:rsidRPr="00222FD7">
                        <w:rPr>
                          <w:rFonts w:ascii="Arial Rounded MT Bold" w:hAnsi="Arial Rounded MT Bold" w:cs="Arial"/>
                          <w:b/>
                          <w:color w:val="1E549E"/>
                          <w:sz w:val="48"/>
                          <w:szCs w:val="56"/>
                        </w:rPr>
                        <w:t>des</w:t>
                      </w:r>
                      <w:proofErr w:type="gramEnd"/>
                      <w:r w:rsidRPr="00222FD7">
                        <w:rPr>
                          <w:rFonts w:ascii="Arial Rounded MT Bold" w:hAnsi="Arial Rounded MT Bold" w:cs="Arial"/>
                          <w:b/>
                          <w:color w:val="1E549E"/>
                          <w:sz w:val="48"/>
                          <w:szCs w:val="56"/>
                        </w:rPr>
                        <w:t xml:space="preserve"> médicaments anticancéreux stériles </w:t>
                      </w:r>
                    </w:p>
                    <w:p w:rsidR="00B169FE" w:rsidRPr="00222FD7" w:rsidRDefault="00B169FE" w:rsidP="00B169FE">
                      <w:pPr>
                        <w:rPr>
                          <w:rFonts w:cs="Arial"/>
                          <w:b/>
                          <w:color w:val="1E549E"/>
                          <w:sz w:val="56"/>
                          <w:szCs w:val="56"/>
                        </w:rPr>
                      </w:pPr>
                    </w:p>
                    <w:p w:rsidR="00B169FE" w:rsidRPr="00222FD7" w:rsidRDefault="00B169FE" w:rsidP="00B169FE">
                      <w:pPr>
                        <w:rPr>
                          <w:rFonts w:cs="Arial"/>
                          <w:color w:val="1E549E"/>
                          <w:sz w:val="32"/>
                          <w:szCs w:val="40"/>
                        </w:rPr>
                      </w:pPr>
                    </w:p>
                  </w:txbxContent>
                </v:textbox>
              </v:shape>
            </w:pict>
          </mc:Fallback>
        </mc:AlternateContent>
      </w:r>
      <w:r>
        <w:rPr>
          <w:noProof/>
          <w:lang w:eastAsia="fr-FR"/>
        </w:rPr>
        <w:drawing>
          <wp:anchor distT="0" distB="0" distL="114300" distR="114300" simplePos="0" relativeHeight="251660288" behindDoc="0" locked="0" layoutInCell="1" allowOverlap="1" wp14:anchorId="3490509C" wp14:editId="1F714531">
            <wp:simplePos x="0" y="0"/>
            <wp:positionH relativeFrom="column">
              <wp:posOffset>4852670</wp:posOffset>
            </wp:positionH>
            <wp:positionV relativeFrom="paragraph">
              <wp:posOffset>8533130</wp:posOffset>
            </wp:positionV>
            <wp:extent cx="1184275" cy="676275"/>
            <wp:effectExtent l="0" t="0" r="0" b="9525"/>
            <wp:wrapNone/>
            <wp:docPr id="462" name="Imag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FD7">
        <w:rPr>
          <w:rFonts w:cs="Arial"/>
          <w:bCs/>
          <w:color w:val="164194"/>
          <w:spacing w:val="200"/>
          <w:szCs w:val="20"/>
        </w:rPr>
        <w:br w:type="page"/>
      </w:r>
    </w:p>
    <w:p w:rsidR="00B169FE" w:rsidRPr="00170228" w:rsidRDefault="00B169FE" w:rsidP="00B169FE">
      <w:pPr>
        <w:pStyle w:val="Titre3"/>
      </w:pPr>
      <w:r>
        <w:lastRenderedPageBreak/>
        <w:t>CONTRAT TYPE</w:t>
      </w:r>
    </w:p>
    <w:p w:rsidR="00B169FE" w:rsidRDefault="00B169FE" w:rsidP="00B169FE">
      <w:pPr>
        <w:rPr>
          <w:rFonts w:cs="Arial"/>
        </w:rPr>
      </w:pPr>
      <w:r w:rsidRPr="0019760D">
        <w:rPr>
          <w:rFonts w:cs="Arial"/>
        </w:rPr>
        <w:t>Le document ci-dessous co</w:t>
      </w:r>
      <w:r>
        <w:rPr>
          <w:rFonts w:cs="Arial"/>
        </w:rPr>
        <w:t>nstitue une aide à la rédaction d’un contrat de sous-traitance. Il doit être adapté selon les besoins des établissements de santé engagés dans le contrat.</w:t>
      </w:r>
    </w:p>
    <w:p w:rsidR="00B169FE" w:rsidRPr="0019760D" w:rsidRDefault="00B169FE" w:rsidP="00B169FE">
      <w:pPr>
        <w:rPr>
          <w:rFonts w:cs="Arial"/>
        </w:rPr>
      </w:pPr>
    </w:p>
    <w:p w:rsidR="00B169FE" w:rsidRPr="00787FB3" w:rsidRDefault="00B169FE" w:rsidP="00B169FE">
      <w:pPr>
        <w:jc w:val="center"/>
        <w:rPr>
          <w:rFonts w:cs="Arial"/>
          <w:b/>
          <w:sz w:val="24"/>
          <w:szCs w:val="24"/>
        </w:rPr>
      </w:pPr>
      <w:r>
        <w:rPr>
          <w:rFonts w:cs="Arial"/>
          <w:b/>
          <w:sz w:val="24"/>
          <w:szCs w:val="24"/>
        </w:rPr>
        <w:t>CONTRAT</w:t>
      </w:r>
      <w:r w:rsidRPr="00787FB3">
        <w:rPr>
          <w:rFonts w:cs="Arial"/>
          <w:b/>
          <w:sz w:val="24"/>
          <w:szCs w:val="24"/>
        </w:rPr>
        <w:t xml:space="preserve"> DE </w:t>
      </w:r>
      <w:r>
        <w:rPr>
          <w:rFonts w:cs="Arial"/>
          <w:b/>
          <w:sz w:val="24"/>
          <w:szCs w:val="24"/>
        </w:rPr>
        <w:t>COOPERATION ENTRE PUI</w:t>
      </w:r>
      <w:r w:rsidRPr="00787FB3">
        <w:rPr>
          <w:rFonts w:cs="Arial"/>
          <w:b/>
          <w:sz w:val="24"/>
          <w:szCs w:val="24"/>
        </w:rPr>
        <w:t xml:space="preserve"> </w:t>
      </w:r>
      <w:r>
        <w:rPr>
          <w:rFonts w:cs="Arial"/>
          <w:b/>
          <w:sz w:val="24"/>
          <w:szCs w:val="24"/>
        </w:rPr>
        <w:t>POUR</w:t>
      </w:r>
      <w:r w:rsidRPr="00787FB3">
        <w:rPr>
          <w:rFonts w:cs="Arial"/>
          <w:b/>
          <w:sz w:val="24"/>
          <w:szCs w:val="24"/>
        </w:rPr>
        <w:t xml:space="preserve"> LA PREPARATION DES MEDICAMENTS ANTICANCERAUX STERILES</w:t>
      </w:r>
    </w:p>
    <w:p w:rsidR="00B169FE" w:rsidRDefault="00B169FE" w:rsidP="00B169FE">
      <w:pPr>
        <w:rPr>
          <w:rFonts w:cs="Arial"/>
          <w:sz w:val="24"/>
          <w:szCs w:val="24"/>
        </w:rPr>
      </w:pPr>
    </w:p>
    <w:p w:rsidR="00B169FE" w:rsidRPr="00F544B2" w:rsidRDefault="00B169FE" w:rsidP="00B169FE">
      <w:pPr>
        <w:rPr>
          <w:rFonts w:cs="Arial"/>
          <w:sz w:val="24"/>
          <w:szCs w:val="24"/>
        </w:rPr>
      </w:pPr>
      <w:r w:rsidRPr="00F544B2">
        <w:rPr>
          <w:rFonts w:cs="Arial"/>
          <w:sz w:val="24"/>
          <w:szCs w:val="24"/>
        </w:rPr>
        <w:t>ENTRE</w:t>
      </w:r>
    </w:p>
    <w:p w:rsidR="00B169FE" w:rsidRPr="00787FB3" w:rsidRDefault="00B169FE" w:rsidP="00B169FE">
      <w:pPr>
        <w:spacing w:after="0"/>
        <w:rPr>
          <w:rFonts w:cs="Arial"/>
        </w:rPr>
      </w:pPr>
      <w:r w:rsidRPr="00222FD7">
        <w:rPr>
          <w:rFonts w:cs="Arial"/>
          <w:highlight w:val="lightGray"/>
        </w:rPr>
        <w:t>Nom de l’établissement, adresse,</w:t>
      </w:r>
      <w:r w:rsidRPr="00787FB3">
        <w:rPr>
          <w:rFonts w:cs="Arial"/>
        </w:rPr>
        <w:t xml:space="preserve"> ci-après dénommé le «</w:t>
      </w:r>
      <w:r>
        <w:rPr>
          <w:rFonts w:cs="Arial"/>
        </w:rPr>
        <w:t xml:space="preserve"> </w:t>
      </w:r>
      <w:r w:rsidRPr="00787FB3">
        <w:rPr>
          <w:rFonts w:cs="Arial"/>
        </w:rPr>
        <w:t>prestataire »</w:t>
      </w:r>
      <w:r w:rsidRPr="00787FB3">
        <w:rPr>
          <w:rStyle w:val="Appelnotedebasdep"/>
          <w:rFonts w:cs="Arial"/>
        </w:rPr>
        <w:footnoteReference w:id="1"/>
      </w:r>
      <w:r>
        <w:rPr>
          <w:rFonts w:cs="Arial"/>
        </w:rPr>
        <w:t xml:space="preserve">, </w:t>
      </w:r>
      <w:r w:rsidRPr="00787FB3">
        <w:rPr>
          <w:rFonts w:cs="Arial"/>
        </w:rPr>
        <w:t xml:space="preserve">représenté par le </w:t>
      </w:r>
      <w:r w:rsidRPr="00222FD7">
        <w:rPr>
          <w:rFonts w:cs="Arial"/>
          <w:highlight w:val="lightGray"/>
        </w:rPr>
        <w:t>directeur M. ou la directrice M</w:t>
      </w:r>
      <w:r w:rsidRPr="00222FD7">
        <w:rPr>
          <w:rFonts w:cs="Arial"/>
          <w:highlight w:val="lightGray"/>
          <w:vertAlign w:val="superscript"/>
        </w:rPr>
        <w:t>me</w:t>
      </w:r>
    </w:p>
    <w:p w:rsidR="00B169FE" w:rsidRPr="00787FB3" w:rsidRDefault="00B169FE" w:rsidP="00B169FE">
      <w:pPr>
        <w:spacing w:after="0"/>
        <w:rPr>
          <w:rFonts w:cs="Arial"/>
        </w:rPr>
      </w:pPr>
      <w:r w:rsidRPr="00787FB3">
        <w:rPr>
          <w:rFonts w:cs="Arial"/>
        </w:rPr>
        <w:t xml:space="preserve">Le pharmacien chef de service de la Pharmacie à Usage Intérieur de l’établissement, </w:t>
      </w:r>
      <w:r w:rsidRPr="00222FD7">
        <w:rPr>
          <w:rFonts w:cs="Arial"/>
          <w:highlight w:val="lightGray"/>
        </w:rPr>
        <w:t>M. ou Mme,</w:t>
      </w:r>
    </w:p>
    <w:p w:rsidR="00B169FE" w:rsidRDefault="00B169FE" w:rsidP="00B169FE">
      <w:pPr>
        <w:spacing w:after="0"/>
        <w:rPr>
          <w:rFonts w:cs="Arial"/>
          <w:sz w:val="24"/>
          <w:szCs w:val="24"/>
        </w:rPr>
      </w:pPr>
    </w:p>
    <w:p w:rsidR="00B169FE" w:rsidRDefault="00B169FE" w:rsidP="00B169FE">
      <w:pPr>
        <w:spacing w:after="0"/>
        <w:rPr>
          <w:rFonts w:cs="Arial"/>
          <w:sz w:val="24"/>
          <w:szCs w:val="24"/>
        </w:rPr>
      </w:pPr>
      <w:r w:rsidRPr="00787FB3">
        <w:rPr>
          <w:rFonts w:cs="Arial"/>
          <w:sz w:val="24"/>
          <w:szCs w:val="24"/>
        </w:rPr>
        <w:t>ET</w:t>
      </w:r>
    </w:p>
    <w:p w:rsidR="00B169FE" w:rsidRPr="00787FB3" w:rsidRDefault="00B169FE" w:rsidP="00B169FE">
      <w:pPr>
        <w:spacing w:after="0"/>
        <w:rPr>
          <w:rFonts w:cs="Arial"/>
          <w:sz w:val="24"/>
          <w:szCs w:val="24"/>
        </w:rPr>
      </w:pPr>
    </w:p>
    <w:p w:rsidR="00B169FE" w:rsidRPr="00787FB3" w:rsidRDefault="00B169FE" w:rsidP="00B169FE">
      <w:pPr>
        <w:spacing w:after="0"/>
        <w:rPr>
          <w:rFonts w:cs="Arial"/>
        </w:rPr>
      </w:pPr>
      <w:r w:rsidRPr="00222FD7">
        <w:rPr>
          <w:rFonts w:cs="Arial"/>
          <w:highlight w:val="lightGray"/>
        </w:rPr>
        <w:t>Nom de l’établissement, adresse,</w:t>
      </w:r>
      <w:r w:rsidRPr="00787FB3">
        <w:rPr>
          <w:rFonts w:cs="Arial"/>
        </w:rPr>
        <w:t xml:space="preserve"> ci-après dénommé le « </w:t>
      </w:r>
      <w:r>
        <w:rPr>
          <w:rFonts w:cs="Arial"/>
        </w:rPr>
        <w:t>donneur d’ordre</w:t>
      </w:r>
      <w:r w:rsidRPr="00787FB3">
        <w:rPr>
          <w:rFonts w:cs="Arial"/>
        </w:rPr>
        <w:t> »</w:t>
      </w:r>
      <w:r w:rsidRPr="00787FB3">
        <w:rPr>
          <w:rStyle w:val="Appelnotedebasdep"/>
          <w:rFonts w:cs="Arial"/>
        </w:rPr>
        <w:footnoteReference w:id="2"/>
      </w:r>
      <w:r>
        <w:rPr>
          <w:rFonts w:cs="Arial"/>
        </w:rPr>
        <w:t xml:space="preserve">,  </w:t>
      </w:r>
      <w:r w:rsidRPr="00787FB3">
        <w:rPr>
          <w:rFonts w:cs="Arial"/>
        </w:rPr>
        <w:t xml:space="preserve">représenté par le </w:t>
      </w:r>
      <w:r w:rsidRPr="00222FD7">
        <w:rPr>
          <w:rFonts w:cs="Arial"/>
          <w:highlight w:val="lightGray"/>
        </w:rPr>
        <w:t xml:space="preserve">directeur </w:t>
      </w:r>
      <w:proofErr w:type="spellStart"/>
      <w:r w:rsidRPr="00222FD7">
        <w:rPr>
          <w:rFonts w:cs="Arial"/>
          <w:highlight w:val="lightGray"/>
        </w:rPr>
        <w:t>M.ou</w:t>
      </w:r>
      <w:proofErr w:type="spellEnd"/>
      <w:r w:rsidRPr="00222FD7">
        <w:rPr>
          <w:rFonts w:cs="Arial"/>
          <w:highlight w:val="lightGray"/>
        </w:rPr>
        <w:t xml:space="preserve"> la directrice M</w:t>
      </w:r>
      <w:r w:rsidRPr="00222FD7">
        <w:rPr>
          <w:rFonts w:cs="Arial"/>
          <w:highlight w:val="lightGray"/>
          <w:vertAlign w:val="superscript"/>
        </w:rPr>
        <w:t>me</w:t>
      </w:r>
    </w:p>
    <w:p w:rsidR="00B169FE" w:rsidRPr="00787FB3" w:rsidRDefault="00B169FE" w:rsidP="00B169FE">
      <w:pPr>
        <w:spacing w:after="0"/>
        <w:rPr>
          <w:rFonts w:cs="Arial"/>
        </w:rPr>
      </w:pPr>
      <w:r w:rsidRPr="00787FB3">
        <w:rPr>
          <w:rFonts w:cs="Arial"/>
        </w:rPr>
        <w:t xml:space="preserve">Le pharmacien chef de service de la Pharmacie à Usage Intérieur de l’établissement, </w:t>
      </w:r>
      <w:r w:rsidRPr="00222FD7">
        <w:rPr>
          <w:rFonts w:cs="Arial"/>
          <w:highlight w:val="lightGray"/>
        </w:rPr>
        <w:t>M. ou Mme,</w:t>
      </w:r>
    </w:p>
    <w:p w:rsidR="00B169FE" w:rsidRDefault="00B169FE" w:rsidP="00B169FE">
      <w:pPr>
        <w:rPr>
          <w:rFonts w:cs="Arial"/>
        </w:rPr>
      </w:pPr>
    </w:p>
    <w:p w:rsidR="00B169FE" w:rsidRPr="00787FB3" w:rsidRDefault="00B169FE" w:rsidP="00B169FE">
      <w:pPr>
        <w:rPr>
          <w:rFonts w:cs="Arial"/>
        </w:rPr>
      </w:pPr>
      <w:r w:rsidRPr="00107335">
        <w:rPr>
          <w:rFonts w:cs="Arial"/>
        </w:rPr>
        <w:t>Vu le contexte réglementaire et les textes suivants :</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Pr>
          <w:rFonts w:cs="Arial"/>
        </w:rPr>
        <w:t xml:space="preserve">articles L.5121-5, L L.5126-1, L.5126-4 </w:t>
      </w:r>
      <w:r w:rsidRPr="000A5E1A">
        <w:rPr>
          <w:rFonts w:cs="Arial"/>
        </w:rPr>
        <w:t xml:space="preserve">du </w:t>
      </w:r>
      <w:r>
        <w:rPr>
          <w:rFonts w:cs="Arial"/>
        </w:rPr>
        <w:t>C</w:t>
      </w:r>
      <w:r w:rsidRPr="000A5E1A">
        <w:rPr>
          <w:rFonts w:cs="Arial"/>
        </w:rPr>
        <w:t>ode de la santé publique </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Pr>
          <w:rFonts w:cs="Arial"/>
        </w:rPr>
        <w:t xml:space="preserve">articles R.5126-9-8° et R.5126-10 (sous-traitance de préparations magistrales stériles) </w:t>
      </w:r>
      <w:r w:rsidRPr="000A5E1A">
        <w:rPr>
          <w:rFonts w:cs="Arial"/>
        </w:rPr>
        <w:t xml:space="preserve">du </w:t>
      </w:r>
      <w:r>
        <w:rPr>
          <w:rFonts w:cs="Arial"/>
        </w:rPr>
        <w:t>C</w:t>
      </w:r>
      <w:r w:rsidRPr="000A5E1A">
        <w:rPr>
          <w:rFonts w:cs="Arial"/>
        </w:rPr>
        <w:t>ode de la santé publique</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sidRPr="00522D86">
        <w:rPr>
          <w:rFonts w:cs="Arial"/>
        </w:rPr>
        <w:t xml:space="preserve">décret n°2007-388 du </w:t>
      </w:r>
      <w:r>
        <w:rPr>
          <w:rFonts w:cs="Arial"/>
        </w:rPr>
        <w:t xml:space="preserve"> 21</w:t>
      </w:r>
      <w:r w:rsidRPr="00522D86">
        <w:rPr>
          <w:rFonts w:cs="Arial"/>
        </w:rPr>
        <w:t xml:space="preserve"> mars 2007 relatif aux conditions d’implantation applicables à </w:t>
      </w:r>
      <w:r w:rsidRPr="00522D86">
        <w:rPr>
          <w:rFonts w:cs="Arial"/>
        </w:rPr>
        <w:tab/>
        <w:t>l’activité de soins de traitement du cancer</w:t>
      </w:r>
    </w:p>
    <w:p w:rsidR="00B169FE" w:rsidRPr="00B169FE" w:rsidRDefault="00B169FE" w:rsidP="00B169FE">
      <w:pPr>
        <w:pStyle w:val="Paragraphedeliste"/>
        <w:numPr>
          <w:ilvl w:val="0"/>
          <w:numId w:val="2"/>
        </w:numPr>
        <w:tabs>
          <w:tab w:val="left" w:pos="284"/>
        </w:tabs>
        <w:spacing w:after="200" w:line="276" w:lineRule="auto"/>
        <w:ind w:left="284" w:hanging="284"/>
        <w:jc w:val="both"/>
        <w:rPr>
          <w:rFonts w:cs="Arial"/>
        </w:rPr>
      </w:pPr>
      <w:r>
        <w:rPr>
          <w:rFonts w:cs="Arial"/>
        </w:rPr>
        <w:t>décret n°2007-389</w:t>
      </w:r>
      <w:r w:rsidRPr="00522D86">
        <w:rPr>
          <w:rFonts w:cs="Arial"/>
        </w:rPr>
        <w:t xml:space="preserve"> du </w:t>
      </w:r>
      <w:r>
        <w:rPr>
          <w:rFonts w:cs="Arial"/>
        </w:rPr>
        <w:t xml:space="preserve"> 21</w:t>
      </w:r>
      <w:r w:rsidRPr="00522D86">
        <w:rPr>
          <w:rFonts w:cs="Arial"/>
        </w:rPr>
        <w:t xml:space="preserve"> mars 2007 relatif aux conditions</w:t>
      </w:r>
      <w:r>
        <w:rPr>
          <w:rFonts w:cs="Arial"/>
        </w:rPr>
        <w:t xml:space="preserve"> techniques de fonctionnement </w:t>
      </w:r>
      <w:r>
        <w:rPr>
          <w:rFonts w:cs="Arial"/>
        </w:rPr>
        <w:t xml:space="preserve">applicables à </w:t>
      </w:r>
      <w:r w:rsidRPr="00522D86">
        <w:rPr>
          <w:rFonts w:cs="Arial"/>
        </w:rPr>
        <w:t>l’activité de soins de traitement du cancer</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sidRPr="00787FB3">
        <w:rPr>
          <w:rFonts w:cs="Arial"/>
        </w:rPr>
        <w:t>arrêté du 6 avril 2011 relatif au management de la qualité de la prise en charge médicamenteuse et aux médicaments dans les établissements de santé</w:t>
      </w:r>
    </w:p>
    <w:p w:rsidR="00B169FE" w:rsidRPr="00E27494" w:rsidRDefault="00B169FE" w:rsidP="00B169FE">
      <w:pPr>
        <w:pStyle w:val="Paragraphedeliste"/>
        <w:numPr>
          <w:ilvl w:val="0"/>
          <w:numId w:val="2"/>
        </w:numPr>
        <w:tabs>
          <w:tab w:val="left" w:pos="284"/>
        </w:tabs>
        <w:spacing w:after="200" w:line="276" w:lineRule="auto"/>
        <w:ind w:left="284" w:hanging="284"/>
        <w:jc w:val="both"/>
        <w:rPr>
          <w:rFonts w:cs="Arial"/>
        </w:rPr>
      </w:pPr>
      <w:r w:rsidRPr="00E27494">
        <w:rPr>
          <w:rFonts w:cs="Arial"/>
        </w:rPr>
        <w:t xml:space="preserve">arrêté du 29 mars 2007 fixant les seuils d’activité applicables à l’activité de soins de </w:t>
      </w:r>
      <w:r w:rsidRPr="00E27494">
        <w:rPr>
          <w:rFonts w:cs="Arial"/>
        </w:rPr>
        <w:tab/>
        <w:t>traitement du cancer</w:t>
      </w:r>
    </w:p>
    <w:p w:rsidR="00B169FE" w:rsidRPr="00787FB3" w:rsidRDefault="00B169FE" w:rsidP="00B169FE">
      <w:pPr>
        <w:pStyle w:val="Paragraphedeliste"/>
        <w:numPr>
          <w:ilvl w:val="0"/>
          <w:numId w:val="2"/>
        </w:numPr>
        <w:tabs>
          <w:tab w:val="left" w:pos="284"/>
        </w:tabs>
        <w:spacing w:after="200" w:line="276" w:lineRule="auto"/>
        <w:ind w:left="284" w:hanging="284"/>
        <w:jc w:val="both"/>
        <w:rPr>
          <w:rFonts w:cs="Arial"/>
        </w:rPr>
      </w:pPr>
      <w:r w:rsidRPr="0064251C">
        <w:rPr>
          <w:rFonts w:cs="Arial"/>
        </w:rPr>
        <w:t>arrêté</w:t>
      </w:r>
      <w:r w:rsidRPr="00787FB3">
        <w:rPr>
          <w:rFonts w:cs="Arial"/>
        </w:rPr>
        <w:t xml:space="preserve"> du 22 juin 2001 relati</w:t>
      </w:r>
      <w:bookmarkStart w:id="0" w:name="_GoBack"/>
      <w:bookmarkEnd w:id="0"/>
      <w:r w:rsidRPr="00787FB3">
        <w:rPr>
          <w:rFonts w:cs="Arial"/>
        </w:rPr>
        <w:t>f aux Bonnes Pratiques de pharmacie hospitalière</w:t>
      </w:r>
    </w:p>
    <w:p w:rsidR="00B169FE" w:rsidRPr="000A5E1A" w:rsidRDefault="00B169FE" w:rsidP="00B169FE">
      <w:pPr>
        <w:pStyle w:val="Paragraphedeliste"/>
        <w:numPr>
          <w:ilvl w:val="0"/>
          <w:numId w:val="2"/>
        </w:numPr>
        <w:tabs>
          <w:tab w:val="left" w:pos="284"/>
        </w:tabs>
        <w:spacing w:after="200" w:line="276" w:lineRule="auto"/>
        <w:ind w:left="284" w:hanging="284"/>
        <w:jc w:val="both"/>
        <w:rPr>
          <w:rFonts w:cs="Arial"/>
        </w:rPr>
      </w:pPr>
      <w:r w:rsidRPr="000A5E1A">
        <w:rPr>
          <w:rFonts w:cs="Arial"/>
        </w:rPr>
        <w:t xml:space="preserve">arrêté du 20 décembre 2004 fixant les conditions d’utilisation des anticancéreux injectables inscrits sur </w:t>
      </w:r>
      <w:r>
        <w:rPr>
          <w:rFonts w:cs="Arial"/>
        </w:rPr>
        <w:t>l</w:t>
      </w:r>
      <w:r w:rsidRPr="000A5E1A">
        <w:rPr>
          <w:rFonts w:cs="Arial"/>
        </w:rPr>
        <w:t>a liste prévue à l’article L. 5126-4 du code de la santé publique</w:t>
      </w:r>
    </w:p>
    <w:p w:rsidR="00B169FE" w:rsidRPr="00787FB3" w:rsidRDefault="00B169FE" w:rsidP="00B169FE">
      <w:pPr>
        <w:pStyle w:val="Paragraphedeliste"/>
        <w:numPr>
          <w:ilvl w:val="0"/>
          <w:numId w:val="2"/>
        </w:numPr>
        <w:tabs>
          <w:tab w:val="left" w:pos="284"/>
        </w:tabs>
        <w:spacing w:after="200" w:line="276" w:lineRule="auto"/>
        <w:ind w:left="284" w:hanging="284"/>
        <w:jc w:val="both"/>
        <w:rPr>
          <w:rFonts w:cs="Arial"/>
        </w:rPr>
      </w:pPr>
      <w:r w:rsidRPr="00787FB3">
        <w:rPr>
          <w:rFonts w:cs="Arial"/>
        </w:rPr>
        <w:t>décision du 5 novembre 2007 relative aux Bonnes Pratiques de Préparation (JO du 21 novembre 2007)</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sidRPr="00787FB3">
        <w:rPr>
          <w:rFonts w:cs="Arial"/>
        </w:rPr>
        <w:t>circulaire DHOS/SDO n° 2005-101 du 22 février 2005 relative à l’organisation des soins en cancérologie</w:t>
      </w:r>
    </w:p>
    <w:p w:rsidR="00B169FE" w:rsidRPr="00787FB3" w:rsidRDefault="00B169FE" w:rsidP="00B169FE">
      <w:pPr>
        <w:pStyle w:val="Paragraphedeliste"/>
        <w:numPr>
          <w:ilvl w:val="0"/>
          <w:numId w:val="2"/>
        </w:numPr>
        <w:tabs>
          <w:tab w:val="left" w:pos="284"/>
        </w:tabs>
        <w:spacing w:after="200" w:line="276" w:lineRule="auto"/>
        <w:ind w:left="284" w:hanging="284"/>
        <w:jc w:val="both"/>
        <w:rPr>
          <w:rFonts w:cs="Arial"/>
        </w:rPr>
      </w:pPr>
      <w:r>
        <w:rPr>
          <w:rFonts w:cs="Arial"/>
        </w:rPr>
        <w:lastRenderedPageBreak/>
        <w:t xml:space="preserve">Guide « Pour une bonne gestion des déchets produits par les établissements de santé et médico sociaux » mars 2016 </w:t>
      </w:r>
    </w:p>
    <w:p w:rsidR="00B169FE" w:rsidRDefault="00B169FE" w:rsidP="00B169FE">
      <w:pPr>
        <w:pStyle w:val="Paragraphedeliste"/>
        <w:numPr>
          <w:ilvl w:val="0"/>
          <w:numId w:val="2"/>
        </w:numPr>
        <w:tabs>
          <w:tab w:val="left" w:pos="284"/>
        </w:tabs>
        <w:spacing w:after="200" w:line="276" w:lineRule="auto"/>
        <w:ind w:left="284" w:hanging="284"/>
        <w:jc w:val="both"/>
        <w:rPr>
          <w:rFonts w:cs="Arial"/>
        </w:rPr>
      </w:pPr>
      <w:r w:rsidRPr="00787FB3">
        <w:rPr>
          <w:rFonts w:cs="Arial"/>
        </w:rPr>
        <w:t>circulaire interministérielle DHOS/DGS/</w:t>
      </w:r>
      <w:r>
        <w:rPr>
          <w:rFonts w:cs="Arial"/>
        </w:rPr>
        <w:t>DPPR/2006/58 du 13 février 2006</w:t>
      </w:r>
      <w:r w:rsidRPr="00787FB3">
        <w:rPr>
          <w:rFonts w:cs="Arial"/>
        </w:rPr>
        <w:t xml:space="preserve"> relative à l’élimination des déchets générés par les traitements anticancéreux</w:t>
      </w:r>
    </w:p>
    <w:p w:rsidR="00B169FE" w:rsidRPr="00787FB3" w:rsidRDefault="00B169FE" w:rsidP="00B169FE">
      <w:pPr>
        <w:pStyle w:val="Paragraphedeliste"/>
        <w:numPr>
          <w:ilvl w:val="0"/>
          <w:numId w:val="2"/>
        </w:numPr>
        <w:tabs>
          <w:tab w:val="left" w:pos="284"/>
        </w:tabs>
        <w:spacing w:after="200" w:line="276" w:lineRule="auto"/>
        <w:ind w:left="284" w:hanging="284"/>
        <w:jc w:val="both"/>
        <w:rPr>
          <w:rFonts w:cs="Arial"/>
        </w:rPr>
      </w:pPr>
      <w:r>
        <w:rPr>
          <w:rFonts w:cs="Arial"/>
        </w:rPr>
        <w:t>circulaire DHOS/CNAMTS/INCA/2007/357 du 25 septembre 2007 relative aux réseaux régionaux de cancérologie</w:t>
      </w:r>
    </w:p>
    <w:p w:rsidR="00B169FE" w:rsidRPr="00787FB3" w:rsidRDefault="00B169FE" w:rsidP="00B169FE">
      <w:pPr>
        <w:tabs>
          <w:tab w:val="left" w:pos="284"/>
        </w:tabs>
        <w:rPr>
          <w:rFonts w:cs="Arial"/>
        </w:rPr>
      </w:pPr>
      <w:r w:rsidRPr="00787FB3">
        <w:rPr>
          <w:rFonts w:cs="Arial"/>
        </w:rPr>
        <w:t>Il est convenu et arrêté ce qui suit :</w:t>
      </w: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 xml:space="preserve">OBJET </w:t>
      </w:r>
      <w:r>
        <w:rPr>
          <w:rFonts w:eastAsia="Times New Roman"/>
          <w:b/>
          <w:bCs/>
          <w:color w:val="1E549E"/>
          <w:sz w:val="26"/>
          <w:szCs w:val="26"/>
        </w:rPr>
        <w:t>DU</w:t>
      </w:r>
      <w:r w:rsidRPr="00222FD7">
        <w:rPr>
          <w:rFonts w:eastAsia="Times New Roman"/>
          <w:b/>
          <w:bCs/>
          <w:color w:val="1E549E"/>
          <w:sz w:val="26"/>
          <w:szCs w:val="26"/>
        </w:rPr>
        <w:t xml:space="preserve"> </w:t>
      </w:r>
      <w:r>
        <w:rPr>
          <w:rFonts w:eastAsia="Times New Roman"/>
          <w:b/>
          <w:bCs/>
          <w:color w:val="1E549E"/>
          <w:sz w:val="26"/>
          <w:szCs w:val="26"/>
        </w:rPr>
        <w:t>CONTRAT</w:t>
      </w:r>
    </w:p>
    <w:p w:rsidR="00B169FE" w:rsidRPr="00787FB3" w:rsidRDefault="00B169FE" w:rsidP="00B169FE">
      <w:pPr>
        <w:tabs>
          <w:tab w:val="left" w:pos="284"/>
        </w:tabs>
        <w:rPr>
          <w:rFonts w:cs="Arial"/>
        </w:rPr>
      </w:pPr>
      <w:r>
        <w:rPr>
          <w:rFonts w:cs="Arial"/>
        </w:rPr>
        <w:t>Le présent</w:t>
      </w:r>
      <w:r w:rsidRPr="00787FB3">
        <w:rPr>
          <w:rFonts w:cs="Arial"/>
        </w:rPr>
        <w:t xml:space="preserve"> </w:t>
      </w:r>
      <w:r>
        <w:rPr>
          <w:rFonts w:cs="Arial"/>
        </w:rPr>
        <w:t>contrat</w:t>
      </w:r>
      <w:r w:rsidRPr="00787FB3">
        <w:rPr>
          <w:rFonts w:cs="Arial"/>
        </w:rPr>
        <w:t xml:space="preserve"> a pour objet de :</w:t>
      </w:r>
    </w:p>
    <w:p w:rsidR="00B169FE" w:rsidRPr="00C24C78" w:rsidRDefault="00B169FE" w:rsidP="00B169FE">
      <w:pPr>
        <w:pStyle w:val="Paragraphedeliste"/>
        <w:numPr>
          <w:ilvl w:val="2"/>
          <w:numId w:val="4"/>
        </w:numPr>
        <w:tabs>
          <w:tab w:val="left" w:pos="284"/>
        </w:tabs>
        <w:spacing w:after="200" w:line="276" w:lineRule="auto"/>
        <w:ind w:left="284" w:hanging="284"/>
        <w:jc w:val="both"/>
        <w:rPr>
          <w:rFonts w:cs="Arial"/>
        </w:rPr>
      </w:pPr>
      <w:r w:rsidRPr="00C24C78">
        <w:rPr>
          <w:rFonts w:cs="Arial"/>
        </w:rPr>
        <w:t>définir les modalités de sous-traitance de la préparation des médi</w:t>
      </w:r>
      <w:r>
        <w:rPr>
          <w:rFonts w:cs="Arial"/>
        </w:rPr>
        <w:t xml:space="preserve">caments anticancéreux </w:t>
      </w:r>
      <w:r w:rsidRPr="00C24C78">
        <w:rPr>
          <w:rFonts w:cs="Arial"/>
        </w:rPr>
        <w:t xml:space="preserve">stériles </w:t>
      </w:r>
      <w:r>
        <w:rPr>
          <w:rFonts w:cs="Arial"/>
        </w:rPr>
        <w:t>du</w:t>
      </w:r>
      <w:r w:rsidRPr="00C24C78">
        <w:rPr>
          <w:rFonts w:cs="Arial"/>
          <w:i/>
        </w:rPr>
        <w:t xml:space="preserve"> donneur d’ordre</w:t>
      </w:r>
      <w:r w:rsidRPr="00C24C78">
        <w:rPr>
          <w:rFonts w:cs="Arial"/>
        </w:rPr>
        <w:t xml:space="preserve"> par la Pharmacie à Usage Intérieur (PUI) </w:t>
      </w:r>
      <w:r>
        <w:rPr>
          <w:rFonts w:cs="Arial"/>
        </w:rPr>
        <w:t>du</w:t>
      </w:r>
      <w:r w:rsidRPr="00C24C78">
        <w:rPr>
          <w:rFonts w:cs="Arial"/>
          <w:i/>
        </w:rPr>
        <w:t xml:space="preserve"> prestataire</w:t>
      </w:r>
      <w:r w:rsidRPr="00E70033">
        <w:rPr>
          <w:rFonts w:cs="Arial"/>
        </w:rPr>
        <w:t xml:space="preserve"> (</w:t>
      </w:r>
      <w:r>
        <w:rPr>
          <w:rFonts w:cs="Arial"/>
        </w:rPr>
        <w:t>contexte, sous-traitance permanente ou à durée limitée, types de préparations concernées)</w:t>
      </w:r>
    </w:p>
    <w:p w:rsidR="00B169FE" w:rsidRPr="00A47871" w:rsidRDefault="00B169FE" w:rsidP="00B169FE">
      <w:pPr>
        <w:pStyle w:val="Paragraphedeliste"/>
        <w:numPr>
          <w:ilvl w:val="0"/>
          <w:numId w:val="4"/>
        </w:numPr>
        <w:tabs>
          <w:tab w:val="left" w:pos="284"/>
        </w:tabs>
        <w:spacing w:after="200" w:line="276" w:lineRule="auto"/>
        <w:ind w:left="0" w:firstLine="0"/>
        <w:jc w:val="both"/>
        <w:rPr>
          <w:rFonts w:cs="Arial"/>
        </w:rPr>
      </w:pPr>
      <w:r w:rsidRPr="00787FB3">
        <w:rPr>
          <w:rFonts w:cs="Arial"/>
        </w:rPr>
        <w:t>définir les rôles et responsabilit</w:t>
      </w:r>
      <w:r>
        <w:rPr>
          <w:rFonts w:cs="Arial"/>
        </w:rPr>
        <w:t>és du</w:t>
      </w:r>
      <w:r w:rsidRPr="00C24C78">
        <w:rPr>
          <w:rFonts w:cs="Arial"/>
          <w:i/>
        </w:rPr>
        <w:t xml:space="preserve"> donneur d’ordre</w:t>
      </w:r>
      <w:r w:rsidRPr="00787FB3">
        <w:rPr>
          <w:rFonts w:cs="Arial"/>
        </w:rPr>
        <w:t xml:space="preserve"> et ceux</w:t>
      </w:r>
      <w:r>
        <w:rPr>
          <w:rFonts w:cs="Arial"/>
        </w:rPr>
        <w:t xml:space="preserve"> du </w:t>
      </w:r>
      <w:r w:rsidRPr="00A47871">
        <w:rPr>
          <w:rFonts w:cs="Arial"/>
          <w:i/>
        </w:rPr>
        <w:t>prestataire</w:t>
      </w:r>
    </w:p>
    <w:p w:rsidR="00B169FE" w:rsidRPr="00787FB3" w:rsidRDefault="00B169FE" w:rsidP="00B169FE">
      <w:pPr>
        <w:pStyle w:val="Paragraphedeliste"/>
        <w:numPr>
          <w:ilvl w:val="0"/>
          <w:numId w:val="4"/>
        </w:numPr>
        <w:tabs>
          <w:tab w:val="left" w:pos="284"/>
        </w:tabs>
        <w:spacing w:after="200" w:line="276" w:lineRule="auto"/>
        <w:ind w:left="284" w:hanging="284"/>
        <w:jc w:val="both"/>
        <w:rPr>
          <w:rFonts w:cs="Arial"/>
        </w:rPr>
      </w:pPr>
      <w:r>
        <w:rPr>
          <w:rFonts w:cs="Arial"/>
        </w:rPr>
        <w:t>e</w:t>
      </w:r>
      <w:r w:rsidRPr="00787FB3">
        <w:rPr>
          <w:rFonts w:cs="Arial"/>
        </w:rPr>
        <w:t>stimer le volume annuel de préparations de médicaments anticancéreux stériles à effectuer (nombre de prescriptions, de patients et de préparations)</w:t>
      </w:r>
      <w:r>
        <w:rPr>
          <w:rFonts w:cs="Arial"/>
        </w:rPr>
        <w:t>.</w:t>
      </w:r>
    </w:p>
    <w:p w:rsidR="00B169FE" w:rsidRDefault="00B169FE" w:rsidP="00B169FE">
      <w:pPr>
        <w:pStyle w:val="Paragraphedeliste"/>
        <w:tabs>
          <w:tab w:val="left" w:pos="284"/>
        </w:tabs>
        <w:spacing w:after="0"/>
        <w:ind w:left="284"/>
        <w:rPr>
          <w:rFonts w:cs="Arial"/>
        </w:rPr>
      </w:pPr>
    </w:p>
    <w:p w:rsidR="00B169FE" w:rsidRPr="00787FB3" w:rsidRDefault="00B169FE" w:rsidP="00B169FE">
      <w:pPr>
        <w:pStyle w:val="Paragraphedeliste"/>
        <w:tabs>
          <w:tab w:val="left" w:pos="284"/>
        </w:tabs>
        <w:spacing w:after="0"/>
        <w:ind w:left="284"/>
        <w:rPr>
          <w:rFonts w:cs="Arial"/>
        </w:rPr>
      </w:pP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ORGANISATION GENERALE</w:t>
      </w:r>
    </w:p>
    <w:p w:rsidR="00B169FE" w:rsidRPr="00787FB3" w:rsidRDefault="00B169FE" w:rsidP="00B169FE">
      <w:pPr>
        <w:tabs>
          <w:tab w:val="left" w:pos="284"/>
        </w:tabs>
        <w:spacing w:after="0" w:line="240" w:lineRule="auto"/>
        <w:rPr>
          <w:rFonts w:cs="Arial"/>
          <w:b/>
        </w:rPr>
      </w:pPr>
    </w:p>
    <w:p w:rsidR="00B169FE" w:rsidRPr="00A73F0B" w:rsidRDefault="00B169FE" w:rsidP="00B169FE">
      <w:pPr>
        <w:pStyle w:val="Paragraphedeliste"/>
        <w:numPr>
          <w:ilvl w:val="0"/>
          <w:numId w:val="5"/>
        </w:numPr>
        <w:tabs>
          <w:tab w:val="left" w:pos="284"/>
        </w:tabs>
        <w:spacing w:after="0" w:line="276" w:lineRule="auto"/>
        <w:ind w:left="284" w:hanging="284"/>
        <w:jc w:val="both"/>
        <w:rPr>
          <w:rFonts w:cs="Arial"/>
        </w:rPr>
      </w:pPr>
      <w:r w:rsidRPr="00787FB3">
        <w:rPr>
          <w:rFonts w:cs="Arial"/>
        </w:rPr>
        <w:t>Les structures internes concernées par la sous-traitance</w:t>
      </w:r>
      <w:r>
        <w:rPr>
          <w:rFonts w:cs="Arial"/>
        </w:rPr>
        <w:t xml:space="preserve"> : </w:t>
      </w:r>
      <w:r w:rsidRPr="00222FD7">
        <w:rPr>
          <w:rFonts w:cs="Arial"/>
          <w:highlight w:val="lightGray"/>
        </w:rPr>
        <w:t xml:space="preserve">mentionner les services cliniques concernés </w:t>
      </w:r>
    </w:p>
    <w:p w:rsidR="00B169FE" w:rsidRPr="00222FD7" w:rsidRDefault="00B169FE" w:rsidP="00B169FE">
      <w:pPr>
        <w:pStyle w:val="Paragraphedeliste"/>
        <w:numPr>
          <w:ilvl w:val="0"/>
          <w:numId w:val="5"/>
        </w:numPr>
        <w:tabs>
          <w:tab w:val="left" w:pos="284"/>
        </w:tabs>
        <w:spacing w:after="0" w:line="276" w:lineRule="auto"/>
        <w:ind w:left="284" w:hanging="284"/>
        <w:jc w:val="both"/>
        <w:rPr>
          <w:rFonts w:cs="Arial"/>
          <w:highlight w:val="lightGray"/>
        </w:rPr>
      </w:pPr>
      <w:r w:rsidRPr="00A73F0B">
        <w:rPr>
          <w:rFonts w:cs="Arial"/>
        </w:rPr>
        <w:t xml:space="preserve">Organigramme des responsabilités administratives, médicales et paramédicales (unité de soins et PUI) pour le prestataire (nom de l’établissement) et le donneur d’ordre (nom de l’établissement) </w:t>
      </w:r>
      <w:r w:rsidRPr="00222FD7">
        <w:rPr>
          <w:rFonts w:cs="Arial"/>
          <w:highlight w:val="lightGray"/>
        </w:rPr>
        <w:t>(à renseigner en annexe)</w:t>
      </w:r>
    </w:p>
    <w:p w:rsidR="00B169FE" w:rsidRPr="00787FB3" w:rsidRDefault="00B169FE" w:rsidP="00B169FE">
      <w:pPr>
        <w:pStyle w:val="Paragraphedeliste"/>
        <w:numPr>
          <w:ilvl w:val="0"/>
          <w:numId w:val="5"/>
        </w:numPr>
        <w:tabs>
          <w:tab w:val="left" w:pos="284"/>
        </w:tabs>
        <w:spacing w:after="0" w:line="276" w:lineRule="auto"/>
        <w:ind w:left="0" w:firstLine="0"/>
        <w:jc w:val="both"/>
        <w:rPr>
          <w:rFonts w:cs="Arial"/>
        </w:rPr>
      </w:pPr>
      <w:r>
        <w:rPr>
          <w:rFonts w:cs="Arial"/>
        </w:rPr>
        <w:t>D</w:t>
      </w:r>
      <w:r w:rsidRPr="00787FB3">
        <w:rPr>
          <w:rFonts w:cs="Arial"/>
        </w:rPr>
        <w:t>escription synthétique du circuit des préparations :</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saisie des protocoles sur </w:t>
      </w:r>
      <w:r>
        <w:rPr>
          <w:rFonts w:cs="Arial"/>
        </w:rPr>
        <w:t>le logiciel d’aide à la prescription par le pharmacien du</w:t>
      </w:r>
      <w:r w:rsidRPr="003D15F0">
        <w:rPr>
          <w:rFonts w:cs="Arial"/>
          <w:i/>
        </w:rPr>
        <w:t xml:space="preserve"> </w:t>
      </w:r>
      <w:r w:rsidRPr="00787FB3">
        <w:rPr>
          <w:rFonts w:cs="Arial"/>
          <w:i/>
        </w:rPr>
        <w:t>prestataire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validation pharmaceutique des p</w:t>
      </w:r>
      <w:r>
        <w:rPr>
          <w:rFonts w:cs="Arial"/>
        </w:rPr>
        <w:t>rotocoles par le pharmacien du</w:t>
      </w:r>
      <w:r w:rsidRPr="00787FB3">
        <w:rPr>
          <w:rFonts w:cs="Arial"/>
        </w:rPr>
        <w:t xml:space="preserve"> </w:t>
      </w:r>
      <w:r w:rsidRPr="00787FB3">
        <w:rPr>
          <w:rFonts w:cs="Arial"/>
          <w:i/>
        </w:rPr>
        <w:t>donneur d’ordre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validation médicale des protocoles par les médecins </w:t>
      </w:r>
      <w:r>
        <w:rPr>
          <w:rFonts w:cs="Arial"/>
        </w:rPr>
        <w:t>du</w:t>
      </w:r>
      <w:r w:rsidRPr="00787FB3">
        <w:rPr>
          <w:rFonts w:cs="Arial"/>
        </w:rPr>
        <w:t xml:space="preserve"> </w:t>
      </w:r>
      <w:r w:rsidRPr="00787FB3">
        <w:rPr>
          <w:rFonts w:cs="Arial"/>
          <w:i/>
        </w:rPr>
        <w:t>donneur d’ordre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prescription sur le logiciel </w:t>
      </w:r>
      <w:r>
        <w:rPr>
          <w:rFonts w:cs="Arial"/>
        </w:rPr>
        <w:t>d’aide à la prescription</w:t>
      </w:r>
      <w:r w:rsidRPr="00787FB3">
        <w:rPr>
          <w:rFonts w:cs="Arial"/>
        </w:rPr>
        <w:t xml:space="preserve"> par les médecins </w:t>
      </w:r>
      <w:r>
        <w:rPr>
          <w:rFonts w:cs="Arial"/>
        </w:rPr>
        <w:t>du</w:t>
      </w:r>
      <w:r w:rsidRPr="00787FB3">
        <w:rPr>
          <w:rFonts w:cs="Arial"/>
        </w:rPr>
        <w:t xml:space="preserve"> </w:t>
      </w:r>
      <w:r w:rsidRPr="00787FB3">
        <w:rPr>
          <w:rFonts w:cs="Arial"/>
          <w:i/>
        </w:rPr>
        <w:t>donneur d’ordre</w:t>
      </w:r>
      <w:r w:rsidRPr="00787FB3">
        <w:rPr>
          <w:rFonts w:cs="Arial"/>
        </w:rPr>
        <w:t xml:space="preserve"> </w:t>
      </w:r>
    </w:p>
    <w:p w:rsidR="00B169FE" w:rsidRPr="00F544B2"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validation pharmaceutique</w:t>
      </w:r>
      <w:r>
        <w:rPr>
          <w:rFonts w:cs="Arial"/>
        </w:rPr>
        <w:t xml:space="preserve"> clinique</w:t>
      </w:r>
      <w:r w:rsidRPr="00787FB3">
        <w:rPr>
          <w:rFonts w:cs="Arial"/>
        </w:rPr>
        <w:t xml:space="preserve"> eff</w:t>
      </w:r>
      <w:r>
        <w:rPr>
          <w:rFonts w:cs="Arial"/>
        </w:rPr>
        <w:t>ectuée par le pharmacien</w:t>
      </w:r>
      <w:r w:rsidRPr="00787FB3">
        <w:rPr>
          <w:rFonts w:cs="Arial"/>
        </w:rPr>
        <w:t xml:space="preserve"> </w:t>
      </w:r>
      <w:r>
        <w:rPr>
          <w:rFonts w:cs="Arial"/>
        </w:rPr>
        <w:t>du</w:t>
      </w:r>
      <w:r w:rsidRPr="00787FB3">
        <w:rPr>
          <w:rFonts w:cs="Arial"/>
          <w:i/>
        </w:rPr>
        <w:t xml:space="preserve"> donneur d’ordre</w:t>
      </w:r>
    </w:p>
    <w:p w:rsidR="00B169FE" w:rsidRPr="00F544B2"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validation pharmaceutique </w:t>
      </w:r>
      <w:r>
        <w:rPr>
          <w:rFonts w:cs="Arial"/>
        </w:rPr>
        <w:t xml:space="preserve">technique </w:t>
      </w:r>
      <w:r w:rsidRPr="00787FB3">
        <w:rPr>
          <w:rFonts w:cs="Arial"/>
        </w:rPr>
        <w:t>eff</w:t>
      </w:r>
      <w:r>
        <w:rPr>
          <w:rFonts w:cs="Arial"/>
        </w:rPr>
        <w:t>ectuée par le pharmacien</w:t>
      </w:r>
      <w:r w:rsidRPr="00787FB3">
        <w:rPr>
          <w:rFonts w:cs="Arial"/>
        </w:rPr>
        <w:t xml:space="preserve"> </w:t>
      </w:r>
      <w:r>
        <w:rPr>
          <w:rFonts w:cs="Arial"/>
        </w:rPr>
        <w:t>du</w:t>
      </w:r>
      <w:r w:rsidRPr="00787FB3">
        <w:rPr>
          <w:rFonts w:cs="Arial"/>
          <w:i/>
        </w:rPr>
        <w:t xml:space="preserve"> </w:t>
      </w:r>
      <w:r>
        <w:rPr>
          <w:rFonts w:cs="Arial"/>
          <w:i/>
        </w:rPr>
        <w:t>prestataire</w:t>
      </w:r>
    </w:p>
    <w:p w:rsidR="00B169FE" w:rsidRPr="00F544B2" w:rsidRDefault="00B169FE" w:rsidP="00B169FE">
      <w:pPr>
        <w:pStyle w:val="Paragraphedeliste"/>
        <w:numPr>
          <w:ilvl w:val="0"/>
          <w:numId w:val="2"/>
        </w:numPr>
        <w:tabs>
          <w:tab w:val="left" w:pos="284"/>
        </w:tabs>
        <w:spacing w:after="0" w:line="276" w:lineRule="auto"/>
        <w:jc w:val="both"/>
        <w:rPr>
          <w:rFonts w:cs="Arial"/>
        </w:rPr>
      </w:pPr>
      <w:r w:rsidRPr="00F544B2">
        <w:rPr>
          <w:rFonts w:cs="Arial"/>
        </w:rPr>
        <w:t>ordre de préparation</w:t>
      </w:r>
      <w:r>
        <w:rPr>
          <w:rFonts w:cs="Arial"/>
        </w:rPr>
        <w:t xml:space="preserve"> déclenché </w:t>
      </w:r>
      <w:r w:rsidRPr="00F544B2">
        <w:rPr>
          <w:rFonts w:cs="Arial"/>
        </w:rPr>
        <w:t>par les médecins</w:t>
      </w:r>
      <w:r w:rsidRPr="00787FB3">
        <w:rPr>
          <w:rFonts w:cs="Arial"/>
        </w:rPr>
        <w:t xml:space="preserve"> </w:t>
      </w:r>
      <w:r>
        <w:rPr>
          <w:rFonts w:cs="Arial"/>
        </w:rPr>
        <w:t>du</w:t>
      </w:r>
      <w:r w:rsidRPr="00787FB3">
        <w:rPr>
          <w:rFonts w:cs="Arial"/>
        </w:rPr>
        <w:t xml:space="preserve"> </w:t>
      </w:r>
      <w:r w:rsidRPr="00787FB3">
        <w:rPr>
          <w:rFonts w:cs="Arial"/>
          <w:i/>
        </w:rPr>
        <w:t>donneur d’ordre</w:t>
      </w:r>
      <w:r w:rsidRPr="00787FB3">
        <w:rPr>
          <w:rFonts w:cs="Arial"/>
        </w:rPr>
        <w:t xml:space="preserve"> </w:t>
      </w:r>
    </w:p>
    <w:p w:rsidR="00B169FE" w:rsidRPr="00023AE0"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préparation réalisée par les préparateurs </w:t>
      </w:r>
      <w:r>
        <w:rPr>
          <w:rFonts w:cs="Arial"/>
        </w:rPr>
        <w:t>ou IDE du</w:t>
      </w:r>
      <w:r w:rsidRPr="00787FB3">
        <w:rPr>
          <w:rFonts w:cs="Arial"/>
        </w:rPr>
        <w:t xml:space="preserve"> </w:t>
      </w:r>
      <w:r w:rsidRPr="00787FB3">
        <w:rPr>
          <w:rFonts w:cs="Arial"/>
          <w:i/>
        </w:rPr>
        <w:t>prestataire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023AE0">
        <w:rPr>
          <w:rFonts w:cs="Arial"/>
        </w:rPr>
        <w:t>contrôle réalisé par les préparateurs ou des techniciens de laboratoire du</w:t>
      </w:r>
      <w:r>
        <w:rPr>
          <w:rFonts w:cs="Arial"/>
          <w:i/>
        </w:rPr>
        <w:t xml:space="preserve"> prestataire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Pr>
          <w:rFonts w:cs="Arial"/>
        </w:rPr>
        <w:t>1</w:t>
      </w:r>
      <w:r w:rsidRPr="0050182B">
        <w:rPr>
          <w:rFonts w:cs="Arial"/>
          <w:vertAlign w:val="superscript"/>
        </w:rPr>
        <w:t>ère</w:t>
      </w:r>
      <w:r>
        <w:rPr>
          <w:rFonts w:cs="Arial"/>
        </w:rPr>
        <w:t xml:space="preserve"> </w:t>
      </w:r>
      <w:r w:rsidRPr="00787FB3">
        <w:rPr>
          <w:rFonts w:cs="Arial"/>
        </w:rPr>
        <w:t xml:space="preserve">libération des </w:t>
      </w:r>
      <w:r>
        <w:rPr>
          <w:rFonts w:cs="Arial"/>
        </w:rPr>
        <w:t>préparations,</w:t>
      </w:r>
      <w:r w:rsidRPr="00787FB3">
        <w:rPr>
          <w:rFonts w:cs="Arial"/>
        </w:rPr>
        <w:t xml:space="preserve"> réalisé</w:t>
      </w:r>
      <w:r>
        <w:rPr>
          <w:rFonts w:cs="Arial"/>
        </w:rPr>
        <w:t>e</w:t>
      </w:r>
      <w:r w:rsidRPr="00787FB3">
        <w:rPr>
          <w:rFonts w:cs="Arial"/>
        </w:rPr>
        <w:t xml:space="preserve"> par un pharmacien </w:t>
      </w:r>
      <w:r>
        <w:rPr>
          <w:rFonts w:cs="Arial"/>
        </w:rPr>
        <w:t>du</w:t>
      </w:r>
      <w:r w:rsidRPr="00787FB3">
        <w:rPr>
          <w:rFonts w:cs="Arial"/>
        </w:rPr>
        <w:t xml:space="preserve"> </w:t>
      </w:r>
      <w:r w:rsidRPr="00787FB3">
        <w:rPr>
          <w:rFonts w:cs="Arial"/>
          <w:i/>
        </w:rPr>
        <w:t>prestataire</w:t>
      </w:r>
    </w:p>
    <w:p w:rsidR="00B169FE" w:rsidRPr="00222FD7" w:rsidRDefault="00B169FE" w:rsidP="00B169FE">
      <w:pPr>
        <w:pStyle w:val="Paragraphedeliste"/>
        <w:numPr>
          <w:ilvl w:val="0"/>
          <w:numId w:val="2"/>
        </w:numPr>
        <w:tabs>
          <w:tab w:val="left" w:pos="284"/>
        </w:tabs>
        <w:spacing w:after="0" w:line="276" w:lineRule="auto"/>
        <w:jc w:val="both"/>
        <w:rPr>
          <w:rFonts w:cs="Arial"/>
          <w:highlight w:val="lightGray"/>
        </w:rPr>
      </w:pPr>
      <w:r w:rsidRPr="00787FB3">
        <w:rPr>
          <w:rFonts w:cs="Arial"/>
        </w:rPr>
        <w:t xml:space="preserve">transport réalisé par le </w:t>
      </w:r>
      <w:r w:rsidRPr="00222FD7">
        <w:rPr>
          <w:rFonts w:cs="Arial"/>
          <w:highlight w:val="lightGray"/>
        </w:rPr>
        <w:t xml:space="preserve">service des transports du </w:t>
      </w:r>
      <w:r w:rsidRPr="00222FD7">
        <w:rPr>
          <w:rFonts w:cs="Arial"/>
          <w:i/>
          <w:highlight w:val="lightGray"/>
        </w:rPr>
        <w:t>donneur d’ordre</w:t>
      </w:r>
      <w:r w:rsidRPr="00222FD7">
        <w:rPr>
          <w:rFonts w:cs="Arial"/>
          <w:highlight w:val="lightGray"/>
        </w:rPr>
        <w:t xml:space="preserve"> ou du </w:t>
      </w:r>
      <w:r w:rsidRPr="00222FD7">
        <w:rPr>
          <w:rFonts w:cs="Arial"/>
          <w:i/>
          <w:highlight w:val="lightGray"/>
        </w:rPr>
        <w:t>prestataire</w:t>
      </w:r>
      <w:r w:rsidRPr="00222FD7">
        <w:rPr>
          <w:rFonts w:cs="Arial"/>
          <w:highlight w:val="lightGray"/>
        </w:rPr>
        <w:t xml:space="preserve"> ou par une société extérieure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réception </w:t>
      </w:r>
      <w:r>
        <w:rPr>
          <w:rFonts w:cs="Arial"/>
        </w:rPr>
        <w:t>réalisée à la PUI</w:t>
      </w:r>
      <w:r w:rsidRPr="00787FB3">
        <w:rPr>
          <w:rFonts w:cs="Arial"/>
        </w:rPr>
        <w:t xml:space="preserve"> par un pharmacien</w:t>
      </w:r>
      <w:r>
        <w:rPr>
          <w:rFonts w:cs="Arial"/>
        </w:rPr>
        <w:t xml:space="preserve"> ou un préparateur</w:t>
      </w:r>
      <w:r w:rsidRPr="00787FB3" w:rsidDel="002704A4">
        <w:rPr>
          <w:rFonts w:cs="Arial"/>
        </w:rPr>
        <w:t xml:space="preserve"> </w:t>
      </w:r>
      <w:r>
        <w:rPr>
          <w:rFonts w:cs="Arial"/>
        </w:rPr>
        <w:t xml:space="preserve">du </w:t>
      </w:r>
      <w:r w:rsidRPr="00787FB3">
        <w:rPr>
          <w:rFonts w:cs="Arial"/>
          <w:i/>
        </w:rPr>
        <w:t>donneur d’ordre</w:t>
      </w:r>
    </w:p>
    <w:p w:rsidR="00B169FE" w:rsidRPr="0050182B" w:rsidRDefault="00B169FE" w:rsidP="00B169FE">
      <w:pPr>
        <w:pStyle w:val="Paragraphedeliste"/>
        <w:numPr>
          <w:ilvl w:val="0"/>
          <w:numId w:val="2"/>
        </w:numPr>
        <w:tabs>
          <w:tab w:val="left" w:pos="284"/>
        </w:tabs>
        <w:spacing w:after="0" w:line="276" w:lineRule="auto"/>
        <w:jc w:val="both"/>
        <w:rPr>
          <w:rFonts w:cs="Arial"/>
        </w:rPr>
      </w:pPr>
      <w:r w:rsidRPr="00787FB3">
        <w:rPr>
          <w:rFonts w:cs="Arial"/>
        </w:rPr>
        <w:t xml:space="preserve">accusé de réception transmis au prestataire par le pharmacien </w:t>
      </w:r>
      <w:r>
        <w:rPr>
          <w:rFonts w:cs="Arial"/>
        </w:rPr>
        <w:t>du</w:t>
      </w:r>
      <w:r w:rsidRPr="00787FB3">
        <w:rPr>
          <w:rFonts w:cs="Arial"/>
          <w:i/>
        </w:rPr>
        <w:t xml:space="preserve"> donneur d’ordre</w:t>
      </w:r>
    </w:p>
    <w:p w:rsidR="00B169FE" w:rsidRPr="00C43EAD" w:rsidRDefault="00B169FE" w:rsidP="00B169FE">
      <w:pPr>
        <w:pStyle w:val="Paragraphedeliste"/>
        <w:numPr>
          <w:ilvl w:val="0"/>
          <w:numId w:val="2"/>
        </w:numPr>
        <w:tabs>
          <w:tab w:val="left" w:pos="284"/>
        </w:tabs>
        <w:spacing w:after="0" w:line="276" w:lineRule="auto"/>
        <w:jc w:val="both"/>
        <w:rPr>
          <w:rFonts w:cs="Arial"/>
        </w:rPr>
      </w:pPr>
      <w:r>
        <w:rPr>
          <w:rFonts w:cs="Arial"/>
        </w:rPr>
        <w:t>2</w:t>
      </w:r>
      <w:r w:rsidRPr="0050182B">
        <w:rPr>
          <w:rFonts w:cs="Arial"/>
          <w:vertAlign w:val="superscript"/>
        </w:rPr>
        <w:t>ème</w:t>
      </w:r>
      <w:r>
        <w:rPr>
          <w:rFonts w:cs="Arial"/>
        </w:rPr>
        <w:t xml:space="preserve"> </w:t>
      </w:r>
      <w:r w:rsidRPr="00787FB3">
        <w:rPr>
          <w:rFonts w:cs="Arial"/>
        </w:rPr>
        <w:t xml:space="preserve">libération des </w:t>
      </w:r>
      <w:r>
        <w:rPr>
          <w:rFonts w:cs="Arial"/>
        </w:rPr>
        <w:t>préparations,</w:t>
      </w:r>
      <w:r w:rsidRPr="00787FB3">
        <w:rPr>
          <w:rFonts w:cs="Arial"/>
        </w:rPr>
        <w:t xml:space="preserve"> réalisé</w:t>
      </w:r>
      <w:r>
        <w:rPr>
          <w:rFonts w:cs="Arial"/>
        </w:rPr>
        <w:t>e</w:t>
      </w:r>
      <w:r w:rsidRPr="00787FB3">
        <w:rPr>
          <w:rFonts w:cs="Arial"/>
        </w:rPr>
        <w:t xml:space="preserve"> par un pharmacien </w:t>
      </w:r>
      <w:r>
        <w:rPr>
          <w:rFonts w:cs="Arial"/>
        </w:rPr>
        <w:t>du</w:t>
      </w:r>
      <w:r w:rsidRPr="0050182B">
        <w:rPr>
          <w:rFonts w:cs="Arial"/>
          <w:i/>
        </w:rPr>
        <w:t xml:space="preserve"> </w:t>
      </w:r>
      <w:r w:rsidRPr="00787FB3">
        <w:rPr>
          <w:rFonts w:cs="Arial"/>
          <w:i/>
        </w:rPr>
        <w:t>donneur d’ordre</w:t>
      </w:r>
    </w:p>
    <w:p w:rsidR="00B169FE" w:rsidRPr="00787FB3" w:rsidRDefault="00B169FE" w:rsidP="00B169FE">
      <w:pPr>
        <w:pStyle w:val="Paragraphedeliste"/>
        <w:numPr>
          <w:ilvl w:val="0"/>
          <w:numId w:val="2"/>
        </w:numPr>
        <w:tabs>
          <w:tab w:val="left" w:pos="284"/>
        </w:tabs>
        <w:spacing w:after="0" w:line="276" w:lineRule="auto"/>
        <w:jc w:val="both"/>
        <w:rPr>
          <w:rFonts w:cs="Arial"/>
        </w:rPr>
      </w:pPr>
      <w:r w:rsidRPr="0050182B">
        <w:rPr>
          <w:rFonts w:cs="Arial"/>
        </w:rPr>
        <w:t>dispensation des préparations à l’unité de soins par la pharmacie du</w:t>
      </w:r>
      <w:r>
        <w:rPr>
          <w:rFonts w:cs="Arial"/>
          <w:i/>
        </w:rPr>
        <w:t xml:space="preserve"> donneur d’ordre</w:t>
      </w:r>
    </w:p>
    <w:p w:rsidR="00B169FE" w:rsidRPr="009464D0" w:rsidRDefault="00B169FE" w:rsidP="00B169FE">
      <w:pPr>
        <w:pStyle w:val="Paragraphedeliste"/>
        <w:numPr>
          <w:ilvl w:val="0"/>
          <w:numId w:val="2"/>
        </w:numPr>
        <w:tabs>
          <w:tab w:val="left" w:pos="284"/>
        </w:tabs>
        <w:spacing w:after="0" w:line="276" w:lineRule="auto"/>
        <w:jc w:val="both"/>
        <w:rPr>
          <w:rFonts w:cs="Arial"/>
        </w:rPr>
      </w:pPr>
      <w:r>
        <w:rPr>
          <w:rFonts w:cs="Arial"/>
        </w:rPr>
        <w:t>enregistrement de l’</w:t>
      </w:r>
      <w:r w:rsidRPr="00787FB3">
        <w:rPr>
          <w:rFonts w:cs="Arial"/>
        </w:rPr>
        <w:t xml:space="preserve">administration des préparations par les infirmières </w:t>
      </w:r>
      <w:r>
        <w:rPr>
          <w:rFonts w:cs="Arial"/>
        </w:rPr>
        <w:t>du</w:t>
      </w:r>
      <w:r w:rsidRPr="00787FB3">
        <w:rPr>
          <w:rFonts w:cs="Arial"/>
          <w:i/>
        </w:rPr>
        <w:t xml:space="preserve"> donneur d’ordre</w:t>
      </w:r>
    </w:p>
    <w:p w:rsidR="00B169FE" w:rsidRPr="009464D0" w:rsidRDefault="00B169FE" w:rsidP="00B169FE">
      <w:pPr>
        <w:pStyle w:val="Paragraphedeliste"/>
        <w:numPr>
          <w:ilvl w:val="0"/>
          <w:numId w:val="2"/>
        </w:numPr>
        <w:tabs>
          <w:tab w:val="left" w:pos="284"/>
        </w:tabs>
        <w:spacing w:after="0" w:line="276" w:lineRule="auto"/>
        <w:jc w:val="both"/>
        <w:rPr>
          <w:rFonts w:cs="Arial"/>
        </w:rPr>
      </w:pPr>
      <w:r w:rsidRPr="009464D0">
        <w:rPr>
          <w:rFonts w:cs="Arial"/>
        </w:rPr>
        <w:lastRenderedPageBreak/>
        <w:t>gestion des déchets</w:t>
      </w:r>
      <w:r>
        <w:rPr>
          <w:rFonts w:cs="Arial"/>
        </w:rPr>
        <w:t xml:space="preserve"> issus de l’activité (dont préparations non-administrées)</w:t>
      </w:r>
    </w:p>
    <w:p w:rsidR="00B169FE" w:rsidRPr="00787FB3" w:rsidRDefault="00B169FE" w:rsidP="00B169FE">
      <w:pPr>
        <w:pStyle w:val="Paragraphedeliste"/>
        <w:numPr>
          <w:ilvl w:val="0"/>
          <w:numId w:val="6"/>
        </w:numPr>
        <w:tabs>
          <w:tab w:val="left" w:pos="284"/>
        </w:tabs>
        <w:spacing w:after="0" w:line="276" w:lineRule="auto"/>
        <w:ind w:left="284" w:hanging="284"/>
        <w:jc w:val="both"/>
        <w:rPr>
          <w:rFonts w:cs="Arial"/>
        </w:rPr>
      </w:pPr>
      <w:r>
        <w:rPr>
          <w:rFonts w:cs="Arial"/>
        </w:rPr>
        <w:t>V</w:t>
      </w:r>
      <w:r w:rsidRPr="00787FB3">
        <w:rPr>
          <w:rFonts w:cs="Arial"/>
        </w:rPr>
        <w:t xml:space="preserve">olume annuel estimé à </w:t>
      </w:r>
      <w:r w:rsidRPr="00222FD7">
        <w:rPr>
          <w:rFonts w:cs="Arial"/>
          <w:highlight w:val="lightGray"/>
        </w:rPr>
        <w:t>nombre de préparations</w:t>
      </w:r>
      <w:r w:rsidRPr="00787FB3">
        <w:rPr>
          <w:rFonts w:cs="Arial"/>
        </w:rPr>
        <w:t xml:space="preserve">, </w:t>
      </w:r>
      <w:r w:rsidRPr="00222FD7">
        <w:rPr>
          <w:rFonts w:cs="Arial"/>
          <w:highlight w:val="lightGray"/>
        </w:rPr>
        <w:t>nombre de prescriptions</w:t>
      </w:r>
      <w:r w:rsidRPr="00787FB3">
        <w:rPr>
          <w:rFonts w:cs="Arial"/>
        </w:rPr>
        <w:t xml:space="preserve"> et </w:t>
      </w:r>
      <w:r w:rsidRPr="00222FD7">
        <w:rPr>
          <w:rFonts w:cs="Arial"/>
          <w:highlight w:val="lightGray"/>
        </w:rPr>
        <w:t>nombre de patients</w:t>
      </w:r>
      <w:r w:rsidRPr="00787FB3">
        <w:rPr>
          <w:rFonts w:cs="Arial"/>
        </w:rPr>
        <w:t xml:space="preserve"> </w:t>
      </w:r>
    </w:p>
    <w:p w:rsidR="00B169FE" w:rsidRPr="00787FB3" w:rsidRDefault="00B169FE" w:rsidP="00B169FE">
      <w:pPr>
        <w:pStyle w:val="Paragraphedeliste"/>
        <w:numPr>
          <w:ilvl w:val="0"/>
          <w:numId w:val="6"/>
        </w:numPr>
        <w:tabs>
          <w:tab w:val="left" w:pos="284"/>
        </w:tabs>
        <w:spacing w:after="0" w:line="276" w:lineRule="auto"/>
        <w:ind w:left="0" w:firstLine="0"/>
        <w:jc w:val="both"/>
        <w:rPr>
          <w:rFonts w:cs="Arial"/>
        </w:rPr>
      </w:pPr>
      <w:r>
        <w:rPr>
          <w:rFonts w:cs="Arial"/>
        </w:rPr>
        <w:t>P</w:t>
      </w:r>
      <w:r w:rsidRPr="00787FB3">
        <w:rPr>
          <w:rFonts w:cs="Arial"/>
        </w:rPr>
        <w:t>lanning des horaires de livraison pour la semaine :</w:t>
      </w:r>
      <w:r>
        <w:rPr>
          <w:rFonts w:cs="Arial"/>
        </w:rPr>
        <w:t xml:space="preserve"> </w:t>
      </w:r>
      <w:r w:rsidRPr="00222FD7">
        <w:rPr>
          <w:rFonts w:cs="Arial"/>
          <w:highlight w:val="lightGray"/>
        </w:rPr>
        <w:t>Mentionner</w:t>
      </w:r>
    </w:p>
    <w:p w:rsidR="00B169FE" w:rsidRPr="00222FD7" w:rsidRDefault="00B169FE" w:rsidP="00B169FE">
      <w:pPr>
        <w:pStyle w:val="Paragraphedeliste"/>
        <w:numPr>
          <w:ilvl w:val="0"/>
          <w:numId w:val="2"/>
        </w:numPr>
        <w:tabs>
          <w:tab w:val="left" w:pos="284"/>
        </w:tabs>
        <w:spacing w:after="0" w:line="276" w:lineRule="auto"/>
        <w:jc w:val="both"/>
        <w:rPr>
          <w:rFonts w:cs="Arial"/>
          <w:highlight w:val="lightGray"/>
        </w:rPr>
      </w:pPr>
      <w:r w:rsidRPr="00222FD7">
        <w:rPr>
          <w:rFonts w:cs="Arial"/>
          <w:highlight w:val="lightGray"/>
        </w:rPr>
        <w:t xml:space="preserve">Les jours d’ouverture dans la semaine et préciser si l’UPC fonctionne les jours fériés </w:t>
      </w:r>
    </w:p>
    <w:p w:rsidR="00B169FE" w:rsidRPr="00222FD7" w:rsidRDefault="00B169FE" w:rsidP="00B169FE">
      <w:pPr>
        <w:pStyle w:val="Paragraphedeliste"/>
        <w:numPr>
          <w:ilvl w:val="0"/>
          <w:numId w:val="2"/>
        </w:numPr>
        <w:tabs>
          <w:tab w:val="left" w:pos="284"/>
        </w:tabs>
        <w:spacing w:after="0" w:line="276" w:lineRule="auto"/>
        <w:jc w:val="both"/>
        <w:rPr>
          <w:rFonts w:cs="Arial"/>
          <w:highlight w:val="lightGray"/>
        </w:rPr>
      </w:pPr>
      <w:r w:rsidRPr="00222FD7">
        <w:rPr>
          <w:rFonts w:cs="Arial"/>
          <w:highlight w:val="lightGray"/>
        </w:rPr>
        <w:t>Le nombre de livraisons quotidiennes et les horaires d’arrivée</w:t>
      </w:r>
      <w:r w:rsidRPr="003D15F0">
        <w:rPr>
          <w:rFonts w:cs="Arial"/>
        </w:rPr>
        <w:t xml:space="preserve"> </w:t>
      </w:r>
      <w:r w:rsidRPr="00A47871">
        <w:rPr>
          <w:rFonts w:cs="Arial"/>
        </w:rPr>
        <w:t>chez le</w:t>
      </w:r>
      <w:r w:rsidRPr="003D15F0">
        <w:rPr>
          <w:rFonts w:cs="Arial"/>
          <w:i/>
        </w:rPr>
        <w:t xml:space="preserve"> donneur d’ordre</w:t>
      </w:r>
      <w:r w:rsidRPr="003D15F0">
        <w:rPr>
          <w:rFonts w:cs="Arial"/>
        </w:rPr>
        <w:t xml:space="preserve"> : </w:t>
      </w:r>
      <w:r w:rsidRPr="00222FD7">
        <w:rPr>
          <w:rFonts w:cs="Arial"/>
          <w:highlight w:val="lightGray"/>
        </w:rPr>
        <w:t>(distinguer éventuellement les horaires d’arrivée chez le DO le lundi).</w:t>
      </w:r>
    </w:p>
    <w:p w:rsidR="00B169FE" w:rsidRDefault="00B169FE" w:rsidP="00B169FE">
      <w:pPr>
        <w:pStyle w:val="Paragraphedeliste"/>
        <w:tabs>
          <w:tab w:val="left" w:pos="284"/>
        </w:tabs>
        <w:spacing w:after="0" w:line="240" w:lineRule="auto"/>
        <w:rPr>
          <w:rFonts w:cs="Arial"/>
        </w:rPr>
      </w:pP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 xml:space="preserve"> MOYENS MIS EN OEUVRE</w:t>
      </w:r>
    </w:p>
    <w:p w:rsidR="00B169FE" w:rsidRDefault="00B169FE" w:rsidP="00B169FE">
      <w:pPr>
        <w:tabs>
          <w:tab w:val="left" w:pos="284"/>
          <w:tab w:val="left" w:pos="1276"/>
        </w:tabs>
        <w:spacing w:after="240"/>
        <w:rPr>
          <w:rFonts w:cs="Arial"/>
        </w:rPr>
      </w:pPr>
      <w:r w:rsidRPr="00787FB3">
        <w:rPr>
          <w:rFonts w:cs="Arial"/>
          <w:b/>
          <w:sz w:val="24"/>
          <w:szCs w:val="24"/>
        </w:rPr>
        <w:t>3.1 Locaux</w:t>
      </w:r>
      <w:r>
        <w:rPr>
          <w:rFonts w:cs="Arial"/>
        </w:rPr>
        <w:t> </w:t>
      </w:r>
      <w:r w:rsidRPr="00787FB3">
        <w:rPr>
          <w:rFonts w:cs="Arial"/>
        </w:rPr>
        <w:tab/>
      </w:r>
    </w:p>
    <w:p w:rsidR="00B169FE" w:rsidRDefault="00B169FE" w:rsidP="00B169FE">
      <w:pPr>
        <w:tabs>
          <w:tab w:val="left" w:pos="284"/>
          <w:tab w:val="left" w:pos="1276"/>
        </w:tabs>
        <w:spacing w:after="0"/>
        <w:rPr>
          <w:rFonts w:cs="Arial"/>
        </w:rPr>
      </w:pPr>
      <w:r w:rsidRPr="00787FB3">
        <w:rPr>
          <w:rFonts w:cs="Arial"/>
        </w:rPr>
        <w:t xml:space="preserve">L’unité de préparation </w:t>
      </w:r>
      <w:r>
        <w:rPr>
          <w:rFonts w:cs="Arial"/>
        </w:rPr>
        <w:t xml:space="preserve">des chimiothérapies (UPC) </w:t>
      </w:r>
      <w:r w:rsidRPr="00787FB3">
        <w:rPr>
          <w:rFonts w:cs="Arial"/>
        </w:rPr>
        <w:t xml:space="preserve">est située </w:t>
      </w:r>
      <w:proofErr w:type="gramStart"/>
      <w:r>
        <w:rPr>
          <w:rFonts w:cs="Arial"/>
        </w:rPr>
        <w:t xml:space="preserve">au </w:t>
      </w:r>
      <w:r w:rsidRPr="00222FD7">
        <w:rPr>
          <w:rFonts w:cs="Arial"/>
          <w:highlight w:val="lightGray"/>
        </w:rPr>
        <w:t>étage</w:t>
      </w:r>
      <w:proofErr w:type="gramEnd"/>
      <w:r w:rsidRPr="00222FD7">
        <w:rPr>
          <w:rFonts w:cs="Arial"/>
          <w:highlight w:val="lightGray"/>
        </w:rPr>
        <w:t>, nom du bâtiment … et répond aux exigences réglementaires</w:t>
      </w:r>
      <w:r w:rsidRPr="00787FB3">
        <w:rPr>
          <w:rFonts w:cs="Arial"/>
        </w:rPr>
        <w:t>. Cette unité permet d</w:t>
      </w:r>
      <w:r>
        <w:rPr>
          <w:rFonts w:cs="Arial"/>
        </w:rPr>
        <w:t xml:space="preserve">e réaliser </w:t>
      </w:r>
      <w:r w:rsidRPr="00787FB3">
        <w:rPr>
          <w:rFonts w:cs="Arial"/>
        </w:rPr>
        <w:t>une activité</w:t>
      </w:r>
      <w:r>
        <w:rPr>
          <w:rFonts w:cs="Arial"/>
        </w:rPr>
        <w:t xml:space="preserve"> maximale </w:t>
      </w:r>
      <w:r w:rsidRPr="00787FB3">
        <w:rPr>
          <w:rFonts w:cs="Arial"/>
        </w:rPr>
        <w:t xml:space="preserve">de </w:t>
      </w:r>
      <w:r w:rsidRPr="00222FD7">
        <w:rPr>
          <w:rFonts w:cs="Arial"/>
          <w:highlight w:val="lightGray"/>
        </w:rPr>
        <w:t>nombre de préparations annuelles</w:t>
      </w:r>
      <w:r>
        <w:rPr>
          <w:rFonts w:cs="Arial"/>
        </w:rPr>
        <w:t xml:space="preserve">. </w:t>
      </w:r>
      <w:r w:rsidRPr="00222FD7">
        <w:rPr>
          <w:rFonts w:cs="Arial"/>
          <w:highlight w:val="lightGray"/>
        </w:rPr>
        <w:t>Cette activité peut être augmentée à nombre de préparations avec modification technique de structure.</w:t>
      </w:r>
    </w:p>
    <w:p w:rsidR="00B169FE" w:rsidRDefault="00B169FE" w:rsidP="00B169FE">
      <w:pPr>
        <w:tabs>
          <w:tab w:val="left" w:pos="284"/>
          <w:tab w:val="left" w:pos="1276"/>
        </w:tabs>
        <w:spacing w:after="0"/>
        <w:rPr>
          <w:rFonts w:cs="Arial"/>
        </w:rPr>
      </w:pPr>
      <w:r>
        <w:rPr>
          <w:rFonts w:cs="Arial"/>
        </w:rPr>
        <w:t>Cette unité réalise :</w:t>
      </w:r>
    </w:p>
    <w:p w:rsidR="00B169FE" w:rsidRDefault="00B169FE" w:rsidP="00B169FE">
      <w:pPr>
        <w:tabs>
          <w:tab w:val="left" w:pos="284"/>
          <w:tab w:val="left" w:pos="1276"/>
        </w:tabs>
        <w:spacing w:after="0"/>
        <w:rPr>
          <w:rFonts w:cs="Arial"/>
        </w:rPr>
      </w:pPr>
      <w:r>
        <w:rPr>
          <w:rFonts w:cs="Arial"/>
        </w:rPr>
        <w:t xml:space="preserve">- </w:t>
      </w:r>
      <w:r w:rsidRPr="00222FD7">
        <w:rPr>
          <w:rFonts w:cs="Arial"/>
          <w:highlight w:val="lightGray"/>
        </w:rPr>
        <w:t>nombre de préparations annuelles</w:t>
      </w:r>
      <w:r w:rsidRPr="00787FB3">
        <w:rPr>
          <w:rFonts w:cs="Arial"/>
        </w:rPr>
        <w:t xml:space="preserve"> </w:t>
      </w:r>
      <w:r>
        <w:rPr>
          <w:rFonts w:cs="Arial"/>
        </w:rPr>
        <w:t xml:space="preserve">pour ses propres besoins </w:t>
      </w:r>
    </w:p>
    <w:p w:rsidR="00B169FE" w:rsidRDefault="00B169FE" w:rsidP="00B169FE">
      <w:pPr>
        <w:tabs>
          <w:tab w:val="left" w:pos="284"/>
          <w:tab w:val="left" w:pos="1276"/>
        </w:tabs>
        <w:spacing w:after="0"/>
        <w:rPr>
          <w:rFonts w:cs="Arial"/>
        </w:rPr>
      </w:pPr>
      <w:r>
        <w:rPr>
          <w:rFonts w:cs="Arial"/>
        </w:rPr>
        <w:t xml:space="preserve">- </w:t>
      </w:r>
      <w:r w:rsidRPr="00222FD7">
        <w:rPr>
          <w:rFonts w:cs="Arial"/>
          <w:highlight w:val="lightGray"/>
        </w:rPr>
        <w:t>nombre de préparations annuelles pour ses éventuels DO</w:t>
      </w:r>
    </w:p>
    <w:p w:rsidR="00B169FE" w:rsidRDefault="00B169FE" w:rsidP="00B169FE">
      <w:pPr>
        <w:tabs>
          <w:tab w:val="left" w:pos="284"/>
          <w:tab w:val="left" w:pos="1276"/>
        </w:tabs>
        <w:spacing w:after="0"/>
        <w:rPr>
          <w:rFonts w:cs="Arial"/>
        </w:rPr>
      </w:pPr>
      <w:r>
        <w:rPr>
          <w:rFonts w:cs="Arial"/>
        </w:rPr>
        <w:t xml:space="preserve">Cette unité peut absorber un surplus d’activité de </w:t>
      </w:r>
      <w:r w:rsidRPr="00222FD7">
        <w:rPr>
          <w:rFonts w:cs="Arial"/>
          <w:highlight w:val="lightGray"/>
        </w:rPr>
        <w:t>nombre de préparations annuelles</w:t>
      </w:r>
      <w:r>
        <w:rPr>
          <w:rFonts w:cs="Arial"/>
        </w:rPr>
        <w:t xml:space="preserve"> pour un DO </w:t>
      </w:r>
      <w:r w:rsidRPr="00222FD7">
        <w:rPr>
          <w:rFonts w:cs="Arial"/>
          <w:highlight w:val="lightGray"/>
        </w:rPr>
        <w:t>supplémentaire.</w:t>
      </w:r>
      <w:r>
        <w:rPr>
          <w:rFonts w:cs="Arial"/>
        </w:rPr>
        <w:t xml:space="preserve"> </w:t>
      </w:r>
    </w:p>
    <w:p w:rsidR="00B169FE" w:rsidRDefault="00B169FE" w:rsidP="00B169FE">
      <w:pPr>
        <w:tabs>
          <w:tab w:val="left" w:pos="284"/>
          <w:tab w:val="left" w:pos="1276"/>
        </w:tabs>
        <w:spacing w:after="0"/>
        <w:rPr>
          <w:rFonts w:cs="Arial"/>
        </w:rPr>
      </w:pPr>
      <w:r>
        <w:rPr>
          <w:rFonts w:cs="Arial"/>
        </w:rPr>
        <w:t>Le</w:t>
      </w:r>
      <w:r w:rsidRPr="003D15F0">
        <w:rPr>
          <w:rFonts w:cs="Arial"/>
          <w:i/>
        </w:rPr>
        <w:t xml:space="preserve"> prestataire </w:t>
      </w:r>
      <w:r w:rsidRPr="00787FB3">
        <w:rPr>
          <w:rFonts w:cs="Arial"/>
        </w:rPr>
        <w:t xml:space="preserve">garantit l’entretien </w:t>
      </w:r>
      <w:r>
        <w:rPr>
          <w:rFonts w:cs="Arial"/>
        </w:rPr>
        <w:t xml:space="preserve">régulier de ses locaux et le maintien dans le temps de leur conformité en regard de la réglementation en </w:t>
      </w:r>
      <w:r w:rsidRPr="00787FB3">
        <w:rPr>
          <w:rFonts w:cs="Arial"/>
        </w:rPr>
        <w:t>vigueur.</w:t>
      </w:r>
    </w:p>
    <w:p w:rsidR="00B169FE" w:rsidRPr="00787FB3" w:rsidRDefault="00B169FE" w:rsidP="00B169FE">
      <w:pPr>
        <w:tabs>
          <w:tab w:val="left" w:pos="284"/>
          <w:tab w:val="left" w:pos="1276"/>
        </w:tabs>
        <w:spacing w:after="0"/>
        <w:rPr>
          <w:rFonts w:cs="Arial"/>
        </w:rPr>
      </w:pPr>
    </w:p>
    <w:p w:rsidR="00B169FE" w:rsidRPr="00107335" w:rsidRDefault="00B169FE" w:rsidP="00B169FE">
      <w:pPr>
        <w:pStyle w:val="Paragraphedeliste"/>
        <w:numPr>
          <w:ilvl w:val="1"/>
          <w:numId w:val="1"/>
        </w:numPr>
        <w:tabs>
          <w:tab w:val="left" w:pos="284"/>
          <w:tab w:val="left" w:pos="1276"/>
        </w:tabs>
        <w:spacing w:after="120" w:line="276" w:lineRule="auto"/>
        <w:ind w:left="426" w:hanging="426"/>
        <w:jc w:val="both"/>
        <w:rPr>
          <w:rFonts w:cs="Arial"/>
          <w:b/>
          <w:sz w:val="24"/>
          <w:szCs w:val="24"/>
        </w:rPr>
      </w:pPr>
      <w:r w:rsidRPr="00107335">
        <w:rPr>
          <w:rFonts w:cs="Arial"/>
          <w:b/>
          <w:sz w:val="24"/>
          <w:szCs w:val="24"/>
        </w:rPr>
        <w:t>Equipements </w:t>
      </w:r>
    </w:p>
    <w:p w:rsidR="00B169FE" w:rsidRPr="00787FB3" w:rsidRDefault="00B169FE" w:rsidP="00B169FE">
      <w:pPr>
        <w:tabs>
          <w:tab w:val="left" w:pos="284"/>
          <w:tab w:val="left" w:pos="1276"/>
        </w:tabs>
        <w:spacing w:after="120"/>
        <w:rPr>
          <w:rFonts w:cs="Arial"/>
        </w:rPr>
      </w:pPr>
      <w:r w:rsidRPr="00222FD7">
        <w:rPr>
          <w:rFonts w:cs="Arial"/>
          <w:highlight w:val="lightGray"/>
        </w:rPr>
        <w:t>Décrire les équipements mis à disposition pour la préparation (nombre d’isolateurs rigides simple ou double poste, HFAL…) et le contrôle des préparations</w:t>
      </w:r>
      <w:r>
        <w:rPr>
          <w:rFonts w:cs="Arial"/>
        </w:rPr>
        <w:t>.</w:t>
      </w:r>
    </w:p>
    <w:p w:rsidR="00B169FE" w:rsidRPr="00787FB3" w:rsidRDefault="00B169FE" w:rsidP="00B169FE">
      <w:pPr>
        <w:tabs>
          <w:tab w:val="left" w:pos="284"/>
        </w:tabs>
        <w:spacing w:after="0" w:line="240" w:lineRule="auto"/>
        <w:rPr>
          <w:rFonts w:cs="Arial"/>
        </w:rPr>
      </w:pPr>
    </w:p>
    <w:p w:rsidR="00B169FE" w:rsidRPr="00942449" w:rsidRDefault="00B169FE" w:rsidP="00B169FE">
      <w:pPr>
        <w:tabs>
          <w:tab w:val="left" w:pos="284"/>
          <w:tab w:val="left" w:pos="1276"/>
        </w:tabs>
        <w:spacing w:after="120"/>
        <w:rPr>
          <w:rFonts w:cs="Arial"/>
          <w:sz w:val="24"/>
          <w:szCs w:val="24"/>
        </w:rPr>
      </w:pPr>
      <w:r w:rsidRPr="00942449">
        <w:rPr>
          <w:rFonts w:cs="Arial"/>
          <w:b/>
          <w:sz w:val="24"/>
          <w:szCs w:val="24"/>
        </w:rPr>
        <w:t>3.</w:t>
      </w:r>
      <w:r>
        <w:rPr>
          <w:rFonts w:cs="Arial"/>
          <w:b/>
          <w:sz w:val="24"/>
          <w:szCs w:val="24"/>
        </w:rPr>
        <w:t xml:space="preserve">3 </w:t>
      </w:r>
      <w:r w:rsidRPr="00942449">
        <w:rPr>
          <w:rFonts w:cs="Arial"/>
          <w:b/>
          <w:sz w:val="24"/>
          <w:szCs w:val="24"/>
        </w:rPr>
        <w:t>Zone de stockage des préparations</w:t>
      </w:r>
      <w:r w:rsidRPr="00942449">
        <w:rPr>
          <w:rFonts w:cs="Arial"/>
          <w:sz w:val="24"/>
          <w:szCs w:val="24"/>
        </w:rPr>
        <w:t> </w:t>
      </w:r>
    </w:p>
    <w:p w:rsidR="00B169FE" w:rsidRPr="00942449" w:rsidRDefault="00B169FE" w:rsidP="00B169FE">
      <w:r w:rsidRPr="00222FD7">
        <w:rPr>
          <w:rFonts w:cs="Arial"/>
          <w:highlight w:val="lightGray"/>
        </w:rPr>
        <w:t>Décrire les équipements mis à disposition pour le stockage des préparations (étagères, armoire, réfrigérateur…) et pour le suivi de la température de la zone de stockage chez le prestataire et le DO.</w:t>
      </w:r>
    </w:p>
    <w:p w:rsidR="00B169FE" w:rsidRPr="00787FB3" w:rsidRDefault="00B169FE" w:rsidP="00B169FE">
      <w:pPr>
        <w:tabs>
          <w:tab w:val="left" w:pos="284"/>
        </w:tabs>
        <w:spacing w:after="0"/>
        <w:rPr>
          <w:rFonts w:cs="Arial"/>
        </w:rPr>
      </w:pPr>
    </w:p>
    <w:p w:rsidR="00B169FE" w:rsidRDefault="00B169FE" w:rsidP="00B169FE">
      <w:pPr>
        <w:tabs>
          <w:tab w:val="left" w:pos="284"/>
          <w:tab w:val="left" w:pos="1276"/>
        </w:tabs>
        <w:spacing w:after="120"/>
        <w:rPr>
          <w:rFonts w:cs="Arial"/>
        </w:rPr>
      </w:pPr>
      <w:r w:rsidRPr="00787FB3">
        <w:rPr>
          <w:rFonts w:cs="Arial"/>
          <w:b/>
          <w:sz w:val="24"/>
          <w:szCs w:val="24"/>
        </w:rPr>
        <w:t>3.4 Personnel</w:t>
      </w:r>
      <w:r w:rsidRPr="00787FB3">
        <w:rPr>
          <w:rFonts w:cs="Arial"/>
          <w:sz w:val="24"/>
          <w:szCs w:val="24"/>
        </w:rPr>
        <w:t> </w:t>
      </w:r>
      <w:r w:rsidRPr="00787FB3">
        <w:rPr>
          <w:rFonts w:cs="Arial"/>
        </w:rPr>
        <w:t> </w:t>
      </w:r>
    </w:p>
    <w:p w:rsidR="00B169FE" w:rsidRPr="00942449" w:rsidRDefault="00B169FE" w:rsidP="00B169FE">
      <w:r w:rsidRPr="00222FD7">
        <w:rPr>
          <w:rFonts w:cs="Arial"/>
          <w:highlight w:val="lightGray"/>
        </w:rPr>
        <w:t>Décrire les moyens en personnel mis à disposition (nombre d’ETP préparateurs, assistants et praticiens hospitaliers, interne de pharmacie, agents d’entretien et de transport, etc.) chez le prestataire et le DO.</w:t>
      </w:r>
    </w:p>
    <w:p w:rsidR="00B169FE" w:rsidRPr="00787FB3" w:rsidRDefault="00B169FE" w:rsidP="00B169FE">
      <w:pPr>
        <w:tabs>
          <w:tab w:val="left" w:pos="284"/>
          <w:tab w:val="left" w:pos="1276"/>
        </w:tabs>
        <w:rPr>
          <w:rFonts w:cs="Arial"/>
        </w:rPr>
      </w:pPr>
    </w:p>
    <w:p w:rsidR="00B169FE" w:rsidRDefault="00B169FE" w:rsidP="00B169FE">
      <w:pPr>
        <w:pStyle w:val="Paragraphedeliste"/>
        <w:numPr>
          <w:ilvl w:val="1"/>
          <w:numId w:val="18"/>
        </w:numPr>
        <w:tabs>
          <w:tab w:val="left" w:pos="284"/>
          <w:tab w:val="left" w:pos="1276"/>
        </w:tabs>
        <w:spacing w:after="0" w:line="276" w:lineRule="auto"/>
        <w:ind w:left="357" w:hanging="357"/>
        <w:jc w:val="both"/>
        <w:rPr>
          <w:rFonts w:cs="Arial"/>
        </w:rPr>
      </w:pPr>
      <w:r>
        <w:rPr>
          <w:rFonts w:cs="Arial"/>
          <w:b/>
          <w:sz w:val="24"/>
          <w:szCs w:val="24"/>
        </w:rPr>
        <w:t xml:space="preserve"> </w:t>
      </w:r>
      <w:r w:rsidRPr="00E62779">
        <w:rPr>
          <w:rFonts w:cs="Arial"/>
          <w:b/>
          <w:sz w:val="24"/>
          <w:szCs w:val="24"/>
        </w:rPr>
        <w:t>Systèmes d’information</w:t>
      </w:r>
      <w:r w:rsidRPr="00E62779">
        <w:rPr>
          <w:rFonts w:cs="Arial"/>
          <w:sz w:val="24"/>
          <w:szCs w:val="24"/>
        </w:rPr>
        <w:t> </w:t>
      </w:r>
      <w:r w:rsidRPr="00E62779">
        <w:rPr>
          <w:rFonts w:cs="Arial"/>
        </w:rPr>
        <w:t> </w:t>
      </w:r>
    </w:p>
    <w:p w:rsidR="00B169FE" w:rsidRDefault="00B169FE" w:rsidP="00B169FE">
      <w:pPr>
        <w:pStyle w:val="Paragraphedeliste"/>
        <w:tabs>
          <w:tab w:val="left" w:pos="284"/>
          <w:tab w:val="left" w:pos="1276"/>
        </w:tabs>
        <w:spacing w:after="0" w:line="240" w:lineRule="auto"/>
        <w:ind w:left="357"/>
        <w:rPr>
          <w:rFonts w:cs="Arial"/>
        </w:rPr>
      </w:pPr>
    </w:p>
    <w:p w:rsidR="00B169FE" w:rsidRDefault="00B169FE" w:rsidP="00B169FE">
      <w:pPr>
        <w:pStyle w:val="Paragraphedeliste"/>
        <w:tabs>
          <w:tab w:val="left" w:pos="284"/>
          <w:tab w:val="left" w:pos="1276"/>
        </w:tabs>
        <w:spacing w:before="480" w:after="120"/>
        <w:ind w:left="0"/>
        <w:rPr>
          <w:rFonts w:cs="Arial"/>
        </w:rPr>
      </w:pPr>
      <w:r w:rsidRPr="00222FD7">
        <w:rPr>
          <w:rFonts w:cs="Arial"/>
          <w:highlight w:val="lightGray"/>
        </w:rPr>
        <w:t>Décrire les modalités d’interopérabilité du système d’information.</w:t>
      </w:r>
      <w:r>
        <w:rPr>
          <w:rFonts w:cs="Arial"/>
        </w:rPr>
        <w:t xml:space="preserve"> </w:t>
      </w:r>
    </w:p>
    <w:p w:rsidR="00B169FE" w:rsidRPr="00E62779" w:rsidRDefault="00B169FE" w:rsidP="00B169FE">
      <w:pPr>
        <w:pStyle w:val="Paragraphedeliste"/>
        <w:tabs>
          <w:tab w:val="left" w:pos="284"/>
          <w:tab w:val="left" w:pos="1276"/>
        </w:tabs>
        <w:spacing w:before="480" w:after="120"/>
        <w:ind w:left="0"/>
        <w:rPr>
          <w:rFonts w:cs="Arial"/>
        </w:rPr>
      </w:pPr>
      <w:r w:rsidRPr="00222FD7">
        <w:rPr>
          <w:rFonts w:cs="Arial"/>
          <w:highlight w:val="lightGray"/>
        </w:rPr>
        <w:t>Décrire les modalités sécurisées d’accès au logiciel.</w:t>
      </w:r>
    </w:p>
    <w:p w:rsidR="00B169FE" w:rsidRDefault="00B169FE" w:rsidP="00B169FE">
      <w:pPr>
        <w:pStyle w:val="Paragraphedeliste"/>
        <w:tabs>
          <w:tab w:val="left" w:pos="284"/>
        </w:tabs>
        <w:ind w:left="0"/>
        <w:rPr>
          <w:rFonts w:cs="Arial"/>
        </w:rPr>
      </w:pPr>
      <w:r w:rsidRPr="00222FD7">
        <w:rPr>
          <w:rFonts w:cs="Arial"/>
          <w:highlight w:val="lightGray"/>
        </w:rPr>
        <w:t>Chaque partie (prestataire et donneur d’ordre) doit assurer la maintenance de son système d’information.</w:t>
      </w:r>
    </w:p>
    <w:p w:rsidR="00B169FE" w:rsidRDefault="00B169FE" w:rsidP="00B169FE">
      <w:pPr>
        <w:pStyle w:val="Paragraphedeliste"/>
        <w:tabs>
          <w:tab w:val="left" w:pos="284"/>
        </w:tabs>
        <w:ind w:left="0"/>
        <w:rPr>
          <w:rFonts w:cs="Arial"/>
        </w:rPr>
      </w:pPr>
      <w:r>
        <w:rPr>
          <w:rFonts w:cs="Arial"/>
        </w:rPr>
        <w:t xml:space="preserve">En cas de dysfonctionnement du logiciel d’aide à la prescription chez le prestataire ou le donneur d’ordre, une solution dégradée sera mise en place </w:t>
      </w:r>
      <w:r w:rsidRPr="00222FD7">
        <w:rPr>
          <w:rFonts w:cs="Arial"/>
          <w:highlight w:val="lightGray"/>
        </w:rPr>
        <w:t>(à renseigner en annexe).</w:t>
      </w:r>
    </w:p>
    <w:p w:rsidR="00B169FE" w:rsidRDefault="00B169FE" w:rsidP="00B169FE">
      <w:pPr>
        <w:pStyle w:val="Paragraphedeliste"/>
        <w:tabs>
          <w:tab w:val="left" w:pos="284"/>
        </w:tabs>
        <w:ind w:left="0"/>
        <w:rPr>
          <w:rFonts w:cs="Arial"/>
        </w:rPr>
      </w:pPr>
      <w:r>
        <w:rPr>
          <w:rFonts w:cs="Arial"/>
        </w:rPr>
        <w:lastRenderedPageBreak/>
        <w:t>Mentionner les coordonnées (f</w:t>
      </w:r>
      <w:r w:rsidRPr="00787FB3">
        <w:rPr>
          <w:rFonts w:cs="Arial"/>
        </w:rPr>
        <w:t>ax et téléphone</w:t>
      </w:r>
      <w:r>
        <w:rPr>
          <w:rFonts w:cs="Arial"/>
        </w:rPr>
        <w:t>) du service informatique de chaque partie</w:t>
      </w:r>
      <w:r w:rsidRPr="00787FB3">
        <w:rPr>
          <w:rFonts w:cs="Arial"/>
        </w:rPr>
        <w:t xml:space="preserve"> </w:t>
      </w:r>
      <w:r w:rsidRPr="00222FD7">
        <w:rPr>
          <w:rFonts w:cs="Arial"/>
          <w:highlight w:val="lightGray"/>
        </w:rPr>
        <w:t>(à renseigner en annexe)</w:t>
      </w:r>
    </w:p>
    <w:p w:rsidR="00B169FE" w:rsidRDefault="00B169FE" w:rsidP="00B169FE">
      <w:pPr>
        <w:pStyle w:val="Paragraphedeliste"/>
        <w:tabs>
          <w:tab w:val="left" w:pos="284"/>
        </w:tabs>
        <w:ind w:left="0"/>
        <w:rPr>
          <w:rFonts w:cs="Arial"/>
        </w:rPr>
      </w:pPr>
    </w:p>
    <w:p w:rsidR="00B169FE" w:rsidRDefault="00B169FE" w:rsidP="00B169FE">
      <w:pPr>
        <w:pStyle w:val="Paragraphedeliste"/>
        <w:tabs>
          <w:tab w:val="left" w:pos="284"/>
        </w:tabs>
        <w:ind w:left="0"/>
        <w:rPr>
          <w:rFonts w:cs="Arial"/>
        </w:rPr>
      </w:pPr>
    </w:p>
    <w:p w:rsidR="00B169FE" w:rsidRPr="00787FB3" w:rsidRDefault="00B169FE" w:rsidP="00B169FE">
      <w:pPr>
        <w:pStyle w:val="Paragraphedeliste"/>
        <w:tabs>
          <w:tab w:val="left" w:pos="284"/>
        </w:tabs>
        <w:ind w:left="0"/>
        <w:rPr>
          <w:rFonts w:cs="Arial"/>
        </w:rPr>
      </w:pPr>
    </w:p>
    <w:p w:rsidR="00B169FE" w:rsidRPr="00787FB3" w:rsidRDefault="00B169FE" w:rsidP="00B169FE">
      <w:pPr>
        <w:tabs>
          <w:tab w:val="left" w:pos="284"/>
          <w:tab w:val="left" w:pos="1276"/>
        </w:tabs>
        <w:spacing w:after="120"/>
        <w:rPr>
          <w:rFonts w:cs="Arial"/>
        </w:rPr>
      </w:pPr>
      <w:r w:rsidRPr="00787FB3">
        <w:rPr>
          <w:rFonts w:cs="Arial"/>
          <w:b/>
          <w:sz w:val="24"/>
          <w:szCs w:val="24"/>
        </w:rPr>
        <w:t>3.6 Transports</w:t>
      </w:r>
      <w:r>
        <w:rPr>
          <w:rFonts w:cs="Arial"/>
          <w:sz w:val="24"/>
          <w:szCs w:val="24"/>
        </w:rPr>
        <w:t> </w:t>
      </w:r>
      <w:r w:rsidRPr="00787FB3">
        <w:rPr>
          <w:rFonts w:cs="Arial"/>
          <w:sz w:val="24"/>
          <w:szCs w:val="24"/>
        </w:rPr>
        <w:t xml:space="preserve"> </w:t>
      </w:r>
      <w:r w:rsidRPr="00787FB3">
        <w:rPr>
          <w:rFonts w:cs="Arial"/>
        </w:rPr>
        <w:t> </w:t>
      </w:r>
    </w:p>
    <w:p w:rsidR="00B169FE" w:rsidRPr="00222FD7" w:rsidRDefault="00B169FE" w:rsidP="00B169FE">
      <w:pPr>
        <w:pStyle w:val="Paragraphedeliste"/>
        <w:tabs>
          <w:tab w:val="left" w:pos="284"/>
        </w:tabs>
        <w:spacing w:after="0" w:line="276" w:lineRule="auto"/>
        <w:ind w:left="0"/>
        <w:rPr>
          <w:rFonts w:cs="Arial"/>
          <w:highlight w:val="lightGray"/>
        </w:rPr>
      </w:pPr>
      <w:r w:rsidRPr="00222FD7">
        <w:rPr>
          <w:rFonts w:cs="Arial"/>
          <w:highlight w:val="lightGray"/>
        </w:rPr>
        <w:t>Définir quelle partie est responsable du système de transport.</w:t>
      </w:r>
    </w:p>
    <w:p w:rsidR="00B169FE" w:rsidRDefault="00B169FE" w:rsidP="00B169FE">
      <w:pPr>
        <w:pStyle w:val="Paragraphedeliste"/>
        <w:tabs>
          <w:tab w:val="left" w:pos="284"/>
        </w:tabs>
        <w:spacing w:after="0" w:line="276" w:lineRule="auto"/>
        <w:ind w:left="0"/>
        <w:rPr>
          <w:rFonts w:cs="Arial"/>
          <w:highlight w:val="lightGray"/>
        </w:rPr>
      </w:pPr>
      <w:r w:rsidRPr="00222FD7">
        <w:rPr>
          <w:rFonts w:cs="Arial"/>
          <w:highlight w:val="lightGray"/>
        </w:rPr>
        <w:t xml:space="preserve">Définir si le système de transport est interne à l’une des 2 parties ou est réalisé par une société extérieure. Eventuellement, nommer la société extérieure retenue. </w:t>
      </w:r>
      <w:r>
        <w:rPr>
          <w:rFonts w:cs="Arial"/>
          <w:highlight w:val="lightGray"/>
        </w:rPr>
        <w:t>Renseigner en annexe le</w:t>
      </w:r>
      <w:r w:rsidRPr="00222FD7">
        <w:rPr>
          <w:rFonts w:cs="Arial"/>
          <w:highlight w:val="lightGray"/>
        </w:rPr>
        <w:t xml:space="preserve"> </w:t>
      </w:r>
      <w:r>
        <w:rPr>
          <w:rFonts w:cs="Arial"/>
          <w:highlight w:val="lightGray"/>
        </w:rPr>
        <w:t>contrat</w:t>
      </w:r>
      <w:r w:rsidRPr="00222FD7">
        <w:rPr>
          <w:rFonts w:cs="Arial"/>
          <w:highlight w:val="lightGray"/>
        </w:rPr>
        <w:t xml:space="preserve"> entre la partie responsable du système de transport et la société extérieure.</w:t>
      </w:r>
    </w:p>
    <w:p w:rsidR="00B169FE" w:rsidRPr="00222FD7" w:rsidRDefault="00B169FE" w:rsidP="00B169FE">
      <w:pPr>
        <w:pStyle w:val="Paragraphedeliste"/>
        <w:tabs>
          <w:tab w:val="left" w:pos="284"/>
        </w:tabs>
        <w:spacing w:after="0" w:line="276" w:lineRule="auto"/>
        <w:ind w:left="0"/>
        <w:rPr>
          <w:rFonts w:cs="Arial"/>
          <w:highlight w:val="lightGray"/>
        </w:rPr>
      </w:pP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MODALITES PRATIQUES</w:t>
      </w:r>
    </w:p>
    <w:p w:rsidR="00B169FE" w:rsidRPr="00787FB3" w:rsidRDefault="00B169FE" w:rsidP="00B169FE">
      <w:pPr>
        <w:tabs>
          <w:tab w:val="left" w:pos="284"/>
        </w:tabs>
        <w:spacing w:after="0" w:line="240" w:lineRule="auto"/>
        <w:rPr>
          <w:rFonts w:cs="Arial"/>
        </w:rPr>
      </w:pPr>
    </w:p>
    <w:p w:rsidR="00B169FE" w:rsidRPr="00787FB3" w:rsidRDefault="00B169FE" w:rsidP="00B169FE">
      <w:pPr>
        <w:tabs>
          <w:tab w:val="left" w:pos="284"/>
          <w:tab w:val="left" w:pos="1276"/>
        </w:tabs>
        <w:spacing w:after="120"/>
        <w:rPr>
          <w:rFonts w:cs="Arial"/>
        </w:rPr>
      </w:pPr>
      <w:r w:rsidRPr="00787FB3">
        <w:rPr>
          <w:rFonts w:cs="Arial"/>
          <w:b/>
          <w:sz w:val="24"/>
          <w:szCs w:val="24"/>
        </w:rPr>
        <w:t xml:space="preserve">4.1 </w:t>
      </w:r>
      <w:r>
        <w:rPr>
          <w:rFonts w:cs="Arial"/>
          <w:b/>
          <w:sz w:val="24"/>
          <w:szCs w:val="24"/>
        </w:rPr>
        <w:t>Achat et approvisionnement </w:t>
      </w:r>
    </w:p>
    <w:p w:rsidR="00B169FE" w:rsidRPr="00787FB3" w:rsidRDefault="00B169FE" w:rsidP="00B169FE">
      <w:pPr>
        <w:tabs>
          <w:tab w:val="left" w:pos="284"/>
        </w:tabs>
        <w:spacing w:after="0" w:line="240" w:lineRule="auto"/>
        <w:rPr>
          <w:rFonts w:cs="Arial"/>
        </w:rPr>
      </w:pPr>
      <w:r w:rsidRPr="00787FB3">
        <w:rPr>
          <w:rFonts w:cs="Arial"/>
        </w:rPr>
        <w:t>Les achats de spécialités pharmaceutiques, de dispositifs médicaux nécessaires à la préparation et de dispositifs médicaux nécessaires à l’administration (posés sur le contenant) son</w:t>
      </w:r>
      <w:r>
        <w:rPr>
          <w:rFonts w:cs="Arial"/>
        </w:rPr>
        <w:t>t effectués par le prestataire.</w:t>
      </w:r>
    </w:p>
    <w:p w:rsidR="00B169FE" w:rsidRPr="00787FB3" w:rsidRDefault="00B169FE" w:rsidP="00B169FE">
      <w:pPr>
        <w:tabs>
          <w:tab w:val="left" w:pos="284"/>
        </w:tabs>
        <w:spacing w:after="120"/>
        <w:rPr>
          <w:rFonts w:cs="Arial"/>
        </w:rPr>
      </w:pPr>
      <w:r w:rsidRPr="00787FB3">
        <w:rPr>
          <w:rFonts w:cs="Arial"/>
        </w:rPr>
        <w:t xml:space="preserve">La responsabilité du prestataire ne sera pas engagée lors d’une rupture d’approvisionnement liée au fournisseur. Il devra en avertir par avance le </w:t>
      </w:r>
      <w:r w:rsidRPr="00A47871">
        <w:rPr>
          <w:rFonts w:cs="Arial"/>
        </w:rPr>
        <w:t>donneur d’ordre</w:t>
      </w:r>
      <w:r w:rsidRPr="00787FB3">
        <w:rPr>
          <w:rFonts w:cs="Arial"/>
        </w:rPr>
        <w:t xml:space="preserve"> pour permettre une information aux services de soins</w:t>
      </w:r>
      <w:r>
        <w:rPr>
          <w:rFonts w:cs="Arial"/>
        </w:rPr>
        <w:t xml:space="preserve"> et trouver une solution alternative</w:t>
      </w:r>
      <w:r w:rsidRPr="00787FB3">
        <w:rPr>
          <w:rFonts w:cs="Arial"/>
        </w:rPr>
        <w:t>.</w:t>
      </w:r>
      <w:r>
        <w:rPr>
          <w:rFonts w:cs="Arial"/>
        </w:rPr>
        <w:t xml:space="preserve"> </w:t>
      </w:r>
    </w:p>
    <w:p w:rsidR="00B169FE" w:rsidRPr="00787FB3" w:rsidRDefault="00B169FE" w:rsidP="00B169FE">
      <w:pPr>
        <w:tabs>
          <w:tab w:val="left" w:pos="284"/>
          <w:tab w:val="left" w:pos="1276"/>
        </w:tabs>
        <w:spacing w:after="120"/>
        <w:rPr>
          <w:rFonts w:cs="Arial"/>
        </w:rPr>
      </w:pPr>
      <w:r w:rsidRPr="00787FB3">
        <w:rPr>
          <w:rFonts w:cs="Arial"/>
          <w:b/>
          <w:sz w:val="24"/>
          <w:szCs w:val="24"/>
        </w:rPr>
        <w:t>4.2 Prescription</w:t>
      </w:r>
      <w:r w:rsidRPr="00787FB3">
        <w:rPr>
          <w:rFonts w:cs="Arial"/>
          <w:sz w:val="24"/>
          <w:szCs w:val="24"/>
        </w:rPr>
        <w:t xml:space="preserve"> </w:t>
      </w:r>
      <w:r w:rsidRPr="00787FB3">
        <w:rPr>
          <w:rFonts w:cs="Arial"/>
        </w:rPr>
        <w:t> </w:t>
      </w:r>
    </w:p>
    <w:p w:rsidR="00B169FE" w:rsidRPr="00FB49D6" w:rsidRDefault="00B169FE" w:rsidP="00B169FE">
      <w:pPr>
        <w:tabs>
          <w:tab w:val="left" w:pos="284"/>
        </w:tabs>
        <w:spacing w:after="120"/>
        <w:rPr>
          <w:rFonts w:cs="Arial"/>
        </w:rPr>
      </w:pPr>
      <w:r w:rsidRPr="00E70033">
        <w:rPr>
          <w:rFonts w:cs="Arial"/>
        </w:rPr>
        <w:t>Les protocoles sont validés par les prescripteurs et le pharmacien de l’établissement donneur d’ordre (</w:t>
      </w:r>
      <w:r w:rsidRPr="00222FD7">
        <w:rPr>
          <w:rFonts w:cs="Arial"/>
          <w:highlight w:val="lightGray"/>
        </w:rPr>
        <w:t>à renseigner en annexe).</w:t>
      </w:r>
      <w:r>
        <w:rPr>
          <w:rFonts w:cs="Arial"/>
        </w:rPr>
        <w:t xml:space="preserve"> </w:t>
      </w:r>
      <w:r w:rsidRPr="00FB49D6">
        <w:rPr>
          <w:rFonts w:cs="Arial"/>
        </w:rPr>
        <w:t>Chaque protocole doit contenir les informations permettant de justifier l’indication dans laquelle il est prescrit.</w:t>
      </w:r>
    </w:p>
    <w:p w:rsidR="00B169FE" w:rsidRDefault="00B169FE" w:rsidP="00B169FE">
      <w:pPr>
        <w:tabs>
          <w:tab w:val="left" w:pos="284"/>
        </w:tabs>
        <w:spacing w:after="120"/>
        <w:rPr>
          <w:rFonts w:cs="Arial"/>
        </w:rPr>
      </w:pPr>
      <w:r w:rsidRPr="00787FB3">
        <w:rPr>
          <w:rFonts w:cs="Arial"/>
        </w:rPr>
        <w:t xml:space="preserve">Ils sont transmis à la PUI du </w:t>
      </w:r>
      <w:r w:rsidRPr="00A47871">
        <w:rPr>
          <w:rFonts w:cs="Arial"/>
        </w:rPr>
        <w:t>prestataire,</w:t>
      </w:r>
      <w:r w:rsidRPr="00787FB3">
        <w:rPr>
          <w:rFonts w:cs="Arial"/>
        </w:rPr>
        <w:t xml:space="preserve"> ainsi que tout nouveau protocole </w:t>
      </w:r>
      <w:r w:rsidRPr="00580A9B">
        <w:rPr>
          <w:rFonts w:cs="Arial"/>
        </w:rPr>
        <w:t xml:space="preserve">par </w:t>
      </w:r>
      <w:r w:rsidRPr="00222FD7">
        <w:rPr>
          <w:rFonts w:cs="Arial"/>
          <w:highlight w:val="lightGray"/>
        </w:rPr>
        <w:t>citer un mode d’envoi</w:t>
      </w:r>
      <w:r w:rsidRPr="00787FB3">
        <w:rPr>
          <w:rFonts w:cs="Arial"/>
        </w:rPr>
        <w:t xml:space="preserve"> en vue de leur création dans le logiciel </w:t>
      </w:r>
      <w:r>
        <w:rPr>
          <w:rFonts w:cs="Arial"/>
        </w:rPr>
        <w:t>d’aide à la prescription</w:t>
      </w:r>
      <w:r w:rsidRPr="00787FB3">
        <w:rPr>
          <w:rFonts w:cs="Arial"/>
        </w:rPr>
        <w:t xml:space="preserve"> par la PUI du </w:t>
      </w:r>
      <w:r w:rsidRPr="00A47871">
        <w:rPr>
          <w:rFonts w:cs="Arial"/>
        </w:rPr>
        <w:t>prestataire.</w:t>
      </w:r>
      <w:r>
        <w:rPr>
          <w:rFonts w:cs="Arial"/>
        </w:rPr>
        <w:t xml:space="preserve"> </w:t>
      </w:r>
    </w:p>
    <w:p w:rsidR="00B169FE" w:rsidRDefault="00B169FE" w:rsidP="00B169FE">
      <w:pPr>
        <w:tabs>
          <w:tab w:val="left" w:pos="284"/>
        </w:tabs>
        <w:spacing w:after="120"/>
        <w:rPr>
          <w:rFonts w:cs="Arial"/>
        </w:rPr>
      </w:pPr>
      <w:r w:rsidRPr="00FF21B9">
        <w:rPr>
          <w:rFonts w:cs="Arial"/>
        </w:rPr>
        <w:t xml:space="preserve">La réactualisation des protocoles devra être réalisée selon la fréquence suivante : </w:t>
      </w:r>
      <w:r w:rsidRPr="00222FD7">
        <w:rPr>
          <w:rFonts w:cs="Arial"/>
          <w:highlight w:val="lightGray"/>
        </w:rPr>
        <w:t xml:space="preserve">donner un délai </w:t>
      </w:r>
      <w:r w:rsidRPr="00FF21B9">
        <w:rPr>
          <w:rFonts w:cs="Arial"/>
        </w:rPr>
        <w:t>de façon à éviter les mises à jour dans l’urgence, source d’erreurs.</w:t>
      </w:r>
      <w:r>
        <w:rPr>
          <w:rFonts w:cs="Arial"/>
        </w:rPr>
        <w:t xml:space="preserve"> </w:t>
      </w:r>
    </w:p>
    <w:p w:rsidR="00B169FE" w:rsidRPr="00787FB3" w:rsidRDefault="00B169FE" w:rsidP="00B169FE">
      <w:pPr>
        <w:tabs>
          <w:tab w:val="left" w:pos="284"/>
        </w:tabs>
        <w:spacing w:after="120"/>
        <w:rPr>
          <w:rFonts w:cs="Arial"/>
        </w:rPr>
      </w:pPr>
      <w:r w:rsidRPr="00787FB3">
        <w:rPr>
          <w:rFonts w:cs="Arial"/>
          <w:b/>
        </w:rPr>
        <w:t>Les prescriptions</w:t>
      </w:r>
      <w:r w:rsidRPr="00787FB3">
        <w:rPr>
          <w:rFonts w:cs="Arial"/>
        </w:rPr>
        <w:t xml:space="preserve">, sous forme de protocoles standardisés, sont </w:t>
      </w:r>
      <w:r w:rsidRPr="008C2BD9">
        <w:rPr>
          <w:rFonts w:cs="Arial"/>
          <w:b/>
        </w:rPr>
        <w:t xml:space="preserve">saisies </w:t>
      </w:r>
      <w:r w:rsidRPr="00222FD7">
        <w:rPr>
          <w:rFonts w:cs="Arial"/>
          <w:b/>
          <w:highlight w:val="lightGray"/>
        </w:rPr>
        <w:t>(48 heures)</w:t>
      </w:r>
      <w:r w:rsidRPr="00787FB3">
        <w:rPr>
          <w:rFonts w:cs="Arial"/>
          <w:b/>
        </w:rPr>
        <w:t xml:space="preserve"> avant la venue du patient</w:t>
      </w:r>
      <w:r w:rsidRPr="00787FB3">
        <w:rPr>
          <w:rFonts w:cs="Arial"/>
        </w:rPr>
        <w:t xml:space="preserve">, sur le logiciel </w:t>
      </w:r>
      <w:r>
        <w:rPr>
          <w:rFonts w:cs="Arial"/>
        </w:rPr>
        <w:t>d’aide à la prescription</w:t>
      </w:r>
      <w:r w:rsidRPr="00787FB3">
        <w:rPr>
          <w:rFonts w:cs="Arial"/>
        </w:rPr>
        <w:t xml:space="preserve"> par les prescripteurs habilités, oncologues ou ayant l’habilitation en oncologie. Les prescriptions pourront être consultées par l’UPC du  </w:t>
      </w:r>
      <w:r w:rsidRPr="00787FB3">
        <w:rPr>
          <w:rFonts w:cs="Arial"/>
          <w:i/>
        </w:rPr>
        <w:t>prestataire</w:t>
      </w:r>
      <w:r w:rsidRPr="00787FB3">
        <w:rPr>
          <w:rFonts w:cs="Arial"/>
        </w:rPr>
        <w:t xml:space="preserve"> ou la PUI du </w:t>
      </w:r>
      <w:r w:rsidRPr="00787FB3">
        <w:rPr>
          <w:rFonts w:cs="Arial"/>
          <w:i/>
        </w:rPr>
        <w:t>donneur d’ordre</w:t>
      </w:r>
      <w:r w:rsidRPr="00787FB3">
        <w:rPr>
          <w:rFonts w:cs="Arial"/>
        </w:rPr>
        <w:t xml:space="preserve"> à tout moment.</w:t>
      </w:r>
    </w:p>
    <w:p w:rsidR="00B169FE" w:rsidRPr="00787FB3" w:rsidRDefault="00B169FE" w:rsidP="00B169FE">
      <w:pPr>
        <w:tabs>
          <w:tab w:val="left" w:pos="284"/>
        </w:tabs>
        <w:spacing w:after="120"/>
        <w:rPr>
          <w:rFonts w:cs="Arial"/>
        </w:rPr>
      </w:pPr>
      <w:r w:rsidRPr="00787FB3">
        <w:rPr>
          <w:rFonts w:cs="Arial"/>
        </w:rPr>
        <w:t xml:space="preserve">La PUI du </w:t>
      </w:r>
      <w:r w:rsidRPr="00787FB3">
        <w:rPr>
          <w:rFonts w:cs="Arial"/>
          <w:i/>
        </w:rPr>
        <w:t>donneur d’ordre</w:t>
      </w:r>
      <w:r w:rsidRPr="00787FB3">
        <w:rPr>
          <w:rFonts w:cs="Arial"/>
        </w:rPr>
        <w:t xml:space="preserve"> s’engage à transmettre à l’UPC du </w:t>
      </w:r>
      <w:r w:rsidRPr="008C2BD9">
        <w:rPr>
          <w:rFonts w:cs="Arial"/>
          <w:i/>
        </w:rPr>
        <w:t>prestataire</w:t>
      </w:r>
      <w:r w:rsidRPr="00787FB3">
        <w:rPr>
          <w:rFonts w:cs="Arial"/>
        </w:rPr>
        <w:t xml:space="preserve"> la mise à jour des prescripteurs et infirmier(s) en temps réel.</w:t>
      </w:r>
    </w:p>
    <w:p w:rsidR="00B169FE" w:rsidRPr="00787FB3" w:rsidRDefault="00B169FE" w:rsidP="00B169FE">
      <w:pPr>
        <w:tabs>
          <w:tab w:val="left" w:pos="284"/>
        </w:tabs>
        <w:spacing w:after="120"/>
        <w:rPr>
          <w:rFonts w:cs="Arial"/>
        </w:rPr>
      </w:pPr>
      <w:r w:rsidRPr="00787FB3">
        <w:rPr>
          <w:rFonts w:cs="Arial"/>
        </w:rPr>
        <w:t xml:space="preserve">Les médecins du </w:t>
      </w:r>
      <w:r w:rsidRPr="00787FB3">
        <w:rPr>
          <w:rFonts w:cs="Arial"/>
          <w:i/>
        </w:rPr>
        <w:t>donneur d’ordre</w:t>
      </w:r>
      <w:r w:rsidRPr="00787FB3">
        <w:rPr>
          <w:rFonts w:cs="Arial"/>
        </w:rPr>
        <w:t xml:space="preserve"> sont responsables de leur prescription.</w:t>
      </w:r>
    </w:p>
    <w:p w:rsidR="00B169FE" w:rsidRPr="00787FB3" w:rsidRDefault="00B169FE" w:rsidP="00B169FE">
      <w:pPr>
        <w:tabs>
          <w:tab w:val="left" w:pos="284"/>
        </w:tabs>
        <w:spacing w:after="120"/>
        <w:rPr>
          <w:rFonts w:cs="Arial"/>
        </w:rPr>
      </w:pPr>
      <w:r w:rsidRPr="0083384A">
        <w:rPr>
          <w:rFonts w:cs="Arial"/>
          <w:u w:val="single"/>
        </w:rPr>
        <w:t xml:space="preserve">En cas </w:t>
      </w:r>
      <w:r>
        <w:rPr>
          <w:rFonts w:cs="Arial"/>
          <w:u w:val="single"/>
        </w:rPr>
        <w:t>de prescription urgent</w:t>
      </w:r>
      <w:r w:rsidRPr="0083384A">
        <w:rPr>
          <w:rFonts w:cs="Arial"/>
          <w:u w:val="single"/>
        </w:rPr>
        <w:t>e</w:t>
      </w:r>
      <w:r>
        <w:rPr>
          <w:rFonts w:cs="Arial"/>
          <w:u w:val="single"/>
        </w:rPr>
        <w:t xml:space="preserve"> pendant les horaires d’ouverture de l’UPC</w:t>
      </w:r>
      <w:r>
        <w:rPr>
          <w:rFonts w:cs="Arial"/>
          <w:u w:val="single"/>
        </w:rPr>
        <w:tab/>
      </w:r>
      <w:r w:rsidRPr="00787FB3">
        <w:rPr>
          <w:rFonts w:cs="Arial"/>
        </w:rPr>
        <w:t xml:space="preserve">, les pharmaciens des deux sites se contactent pour définir les modalités de préparation. </w:t>
      </w:r>
    </w:p>
    <w:p w:rsidR="00B169FE" w:rsidRPr="00787FB3" w:rsidRDefault="00B169FE" w:rsidP="00B169FE">
      <w:pPr>
        <w:tabs>
          <w:tab w:val="left" w:pos="284"/>
        </w:tabs>
        <w:spacing w:after="120"/>
        <w:rPr>
          <w:rFonts w:cs="Arial"/>
        </w:rPr>
      </w:pPr>
      <w:r w:rsidRPr="0083384A">
        <w:rPr>
          <w:rFonts w:cs="Arial"/>
          <w:u w:val="single"/>
        </w:rPr>
        <w:t xml:space="preserve">En cas </w:t>
      </w:r>
      <w:r>
        <w:rPr>
          <w:rFonts w:cs="Arial"/>
          <w:u w:val="single"/>
        </w:rPr>
        <w:t>de prescription urgent</w:t>
      </w:r>
      <w:r w:rsidRPr="0083384A">
        <w:rPr>
          <w:rFonts w:cs="Arial"/>
          <w:u w:val="single"/>
        </w:rPr>
        <w:t>e</w:t>
      </w:r>
      <w:r>
        <w:rPr>
          <w:rFonts w:cs="Arial"/>
          <w:u w:val="single"/>
        </w:rPr>
        <w:t xml:space="preserve"> en dehors des horaires d’ouverture de l’UPC</w:t>
      </w:r>
      <w:r>
        <w:rPr>
          <w:rFonts w:cs="Arial"/>
          <w:u w:val="single"/>
        </w:rPr>
        <w:tab/>
      </w:r>
      <w:r>
        <w:rPr>
          <w:rFonts w:cs="Arial"/>
        </w:rPr>
        <w:t xml:space="preserve">, </w:t>
      </w:r>
      <w:r w:rsidRPr="00222FD7">
        <w:rPr>
          <w:rFonts w:cs="Arial"/>
          <w:highlight w:val="lightGray"/>
        </w:rPr>
        <w:t xml:space="preserve">préciser les modalités de gestion de ces prescriptions. </w:t>
      </w:r>
    </w:p>
    <w:p w:rsidR="00B169FE" w:rsidRDefault="00B169FE" w:rsidP="00B169FE">
      <w:pPr>
        <w:tabs>
          <w:tab w:val="left" w:pos="284"/>
          <w:tab w:val="left" w:pos="1276"/>
        </w:tabs>
        <w:spacing w:after="120"/>
        <w:rPr>
          <w:rFonts w:cs="Arial"/>
          <w:b/>
          <w:sz w:val="24"/>
          <w:szCs w:val="24"/>
        </w:rPr>
      </w:pPr>
    </w:p>
    <w:p w:rsidR="00B169FE" w:rsidRDefault="00B169FE" w:rsidP="00B169FE">
      <w:pPr>
        <w:tabs>
          <w:tab w:val="left" w:pos="284"/>
          <w:tab w:val="left" w:pos="1276"/>
        </w:tabs>
        <w:spacing w:after="120"/>
        <w:rPr>
          <w:rFonts w:cs="Arial"/>
          <w:b/>
          <w:sz w:val="24"/>
          <w:szCs w:val="24"/>
        </w:rPr>
      </w:pPr>
    </w:p>
    <w:p w:rsidR="00B169FE" w:rsidRPr="003C51DD" w:rsidRDefault="00B169FE" w:rsidP="00B169FE">
      <w:pPr>
        <w:tabs>
          <w:tab w:val="left" w:pos="284"/>
          <w:tab w:val="left" w:pos="1276"/>
        </w:tabs>
        <w:spacing w:after="120"/>
        <w:rPr>
          <w:rFonts w:cs="Arial"/>
        </w:rPr>
      </w:pPr>
      <w:r w:rsidRPr="003C51DD">
        <w:rPr>
          <w:rFonts w:cs="Arial"/>
          <w:b/>
          <w:sz w:val="24"/>
          <w:szCs w:val="24"/>
        </w:rPr>
        <w:lastRenderedPageBreak/>
        <w:t>4.</w:t>
      </w:r>
      <w:r>
        <w:rPr>
          <w:rFonts w:cs="Arial"/>
          <w:b/>
          <w:sz w:val="24"/>
          <w:szCs w:val="24"/>
        </w:rPr>
        <w:t xml:space="preserve">3 </w:t>
      </w:r>
      <w:r w:rsidRPr="003C51DD">
        <w:rPr>
          <w:rFonts w:cs="Arial"/>
          <w:b/>
          <w:sz w:val="24"/>
          <w:szCs w:val="24"/>
        </w:rPr>
        <w:t>Analyse pharmaceutique</w:t>
      </w:r>
      <w:r w:rsidRPr="003C51DD">
        <w:rPr>
          <w:rFonts w:cs="Arial"/>
          <w:sz w:val="24"/>
          <w:szCs w:val="24"/>
        </w:rPr>
        <w:t> </w:t>
      </w:r>
      <w:r w:rsidRPr="003C51DD">
        <w:rPr>
          <w:rFonts w:cs="Arial"/>
        </w:rPr>
        <w:t> </w:t>
      </w:r>
    </w:p>
    <w:p w:rsidR="00B169FE" w:rsidRPr="006B57BD" w:rsidRDefault="00B169FE" w:rsidP="00B169FE">
      <w:pPr>
        <w:rPr>
          <w:rFonts w:cs="Arial"/>
        </w:rPr>
      </w:pPr>
      <w:r w:rsidRPr="006B57BD">
        <w:rPr>
          <w:rFonts w:cs="Arial"/>
        </w:rPr>
        <w:t xml:space="preserve">La validation pharmaceutique des prescriptions est double ; elle relève à la fois de la responsabilité du </w:t>
      </w:r>
      <w:r w:rsidRPr="006B57BD">
        <w:rPr>
          <w:rFonts w:cs="Arial"/>
          <w:i/>
        </w:rPr>
        <w:t xml:space="preserve">donneur d’ordre </w:t>
      </w:r>
      <w:r w:rsidRPr="006B57BD">
        <w:rPr>
          <w:rFonts w:cs="Arial"/>
        </w:rPr>
        <w:t xml:space="preserve">et </w:t>
      </w:r>
      <w:r>
        <w:rPr>
          <w:rFonts w:cs="Arial"/>
        </w:rPr>
        <w:t xml:space="preserve">de celle </w:t>
      </w:r>
      <w:r w:rsidRPr="006B57BD">
        <w:rPr>
          <w:rFonts w:cs="Arial"/>
        </w:rPr>
        <w:t xml:space="preserve">du </w:t>
      </w:r>
      <w:r w:rsidRPr="006B57BD">
        <w:rPr>
          <w:rFonts w:cs="Arial"/>
          <w:i/>
        </w:rPr>
        <w:t>prestataire</w:t>
      </w:r>
      <w:r>
        <w:rPr>
          <w:rFonts w:cs="Arial"/>
        </w:rPr>
        <w:t xml:space="preserve">. </w:t>
      </w:r>
    </w:p>
    <w:p w:rsidR="00B169FE" w:rsidRDefault="00B169FE" w:rsidP="00B169FE">
      <w:pPr>
        <w:pStyle w:val="Paragraphedeliste"/>
        <w:numPr>
          <w:ilvl w:val="0"/>
          <w:numId w:val="7"/>
        </w:numPr>
        <w:tabs>
          <w:tab w:val="left" w:pos="284"/>
        </w:tabs>
        <w:spacing w:after="120" w:line="276" w:lineRule="auto"/>
        <w:jc w:val="both"/>
        <w:rPr>
          <w:rFonts w:cs="Arial"/>
        </w:rPr>
      </w:pPr>
      <w:r>
        <w:rPr>
          <w:rFonts w:cs="Arial"/>
        </w:rPr>
        <w:t>Le</w:t>
      </w:r>
      <w:r w:rsidRPr="00787FB3">
        <w:rPr>
          <w:rFonts w:cs="Arial"/>
        </w:rPr>
        <w:t xml:space="preserve"> pharmacie</w:t>
      </w:r>
      <w:r>
        <w:rPr>
          <w:rFonts w:cs="Arial"/>
        </w:rPr>
        <w:t>n</w:t>
      </w:r>
      <w:r w:rsidRPr="00787FB3">
        <w:rPr>
          <w:rFonts w:cs="Arial"/>
        </w:rPr>
        <w:t xml:space="preserve"> d</w:t>
      </w:r>
      <w:r>
        <w:rPr>
          <w:rFonts w:cs="Arial"/>
        </w:rPr>
        <w:t>e l’établissement</w:t>
      </w:r>
      <w:r w:rsidRPr="00787FB3">
        <w:rPr>
          <w:rFonts w:cs="Arial"/>
        </w:rPr>
        <w:t xml:space="preserve"> </w:t>
      </w:r>
      <w:r w:rsidRPr="00787FB3">
        <w:rPr>
          <w:rFonts w:cs="Arial"/>
          <w:i/>
        </w:rPr>
        <w:t>donneur d’ordre</w:t>
      </w:r>
      <w:r>
        <w:rPr>
          <w:rFonts w:cs="Arial"/>
        </w:rPr>
        <w:t xml:space="preserve"> assure</w:t>
      </w:r>
      <w:r w:rsidRPr="00787FB3">
        <w:rPr>
          <w:rFonts w:cs="Arial"/>
        </w:rPr>
        <w:t xml:space="preserve"> la validation de la prescription sur le logiciel </w:t>
      </w:r>
      <w:r>
        <w:rPr>
          <w:rFonts w:cs="Arial"/>
        </w:rPr>
        <w:t>d’aide à la prescription</w:t>
      </w:r>
      <w:r w:rsidRPr="00787FB3">
        <w:rPr>
          <w:rFonts w:cs="Arial"/>
        </w:rPr>
        <w:t xml:space="preserve"> </w:t>
      </w:r>
      <w:r w:rsidRPr="00787FB3">
        <w:rPr>
          <w:rFonts w:cs="Arial"/>
          <w:b/>
        </w:rPr>
        <w:t xml:space="preserve">au moins </w:t>
      </w:r>
      <w:r w:rsidRPr="00222FD7">
        <w:rPr>
          <w:rFonts w:cs="Arial"/>
          <w:b/>
          <w:highlight w:val="lightGray"/>
        </w:rPr>
        <w:t>(24 heures)</w:t>
      </w:r>
      <w:r w:rsidRPr="00787FB3">
        <w:rPr>
          <w:rFonts w:cs="Arial"/>
          <w:b/>
        </w:rPr>
        <w:t xml:space="preserve"> avant la venue du patient</w:t>
      </w:r>
      <w:r w:rsidRPr="00787FB3">
        <w:rPr>
          <w:rFonts w:cs="Arial"/>
        </w:rPr>
        <w:t xml:space="preserve">. </w:t>
      </w:r>
      <w:r>
        <w:rPr>
          <w:rFonts w:cs="Arial"/>
        </w:rPr>
        <w:t>Il</w:t>
      </w:r>
      <w:r w:rsidRPr="00787FB3">
        <w:rPr>
          <w:rFonts w:cs="Arial"/>
        </w:rPr>
        <w:t xml:space="preserve"> se connecte à partir de son code </w:t>
      </w:r>
      <w:r>
        <w:rPr>
          <w:rFonts w:cs="Arial"/>
        </w:rPr>
        <w:t>utilisateur</w:t>
      </w:r>
      <w:r w:rsidRPr="00787FB3">
        <w:rPr>
          <w:rFonts w:cs="Arial"/>
        </w:rPr>
        <w:t xml:space="preserve"> attribué par </w:t>
      </w:r>
      <w:r w:rsidRPr="00422BFA">
        <w:rPr>
          <w:rFonts w:cs="Arial"/>
        </w:rPr>
        <w:t xml:space="preserve">le </w:t>
      </w:r>
      <w:r w:rsidRPr="00787FB3">
        <w:rPr>
          <w:rFonts w:cs="Arial"/>
          <w:i/>
        </w:rPr>
        <w:t>prestataire</w:t>
      </w:r>
      <w:r>
        <w:rPr>
          <w:rFonts w:cs="Arial"/>
        </w:rPr>
        <w:t>. Le pharmacien de l’établissement</w:t>
      </w:r>
      <w:r w:rsidRPr="00787FB3">
        <w:rPr>
          <w:rFonts w:cs="Arial"/>
        </w:rPr>
        <w:t xml:space="preserve"> </w:t>
      </w:r>
      <w:r w:rsidRPr="00787FB3">
        <w:rPr>
          <w:rFonts w:cs="Arial"/>
          <w:i/>
        </w:rPr>
        <w:t>donneur d’ordre</w:t>
      </w:r>
      <w:r w:rsidRPr="00787FB3">
        <w:rPr>
          <w:rFonts w:cs="Arial"/>
        </w:rPr>
        <w:t xml:space="preserve"> déclarera au pharmacien </w:t>
      </w:r>
      <w:r>
        <w:rPr>
          <w:rFonts w:cs="Arial"/>
        </w:rPr>
        <w:t>de l’établissement</w:t>
      </w:r>
      <w:r w:rsidRPr="00787FB3">
        <w:rPr>
          <w:rFonts w:cs="Arial"/>
        </w:rPr>
        <w:t xml:space="preserve"> </w:t>
      </w:r>
      <w:r w:rsidRPr="00422BFA">
        <w:rPr>
          <w:rFonts w:cs="Arial"/>
          <w:i/>
        </w:rPr>
        <w:t>prestataire</w:t>
      </w:r>
      <w:r w:rsidRPr="00787FB3">
        <w:rPr>
          <w:rFonts w:cs="Arial"/>
        </w:rPr>
        <w:t xml:space="preserve"> tout nouveau pharmacien impliqué dans le circuit de sous-traitance afin de lui voir attribuer </w:t>
      </w:r>
      <w:r>
        <w:rPr>
          <w:rFonts w:cs="Arial"/>
        </w:rPr>
        <w:t>les modalités d’accès au système d’information.</w:t>
      </w:r>
    </w:p>
    <w:p w:rsidR="00B169FE" w:rsidRPr="001D26A4" w:rsidRDefault="00B169FE" w:rsidP="00B169FE">
      <w:pPr>
        <w:pStyle w:val="Paragraphedeliste"/>
        <w:numPr>
          <w:ilvl w:val="0"/>
          <w:numId w:val="7"/>
        </w:numPr>
        <w:tabs>
          <w:tab w:val="left" w:pos="284"/>
        </w:tabs>
        <w:spacing w:after="120" w:line="276" w:lineRule="auto"/>
        <w:jc w:val="both"/>
        <w:rPr>
          <w:rFonts w:cs="Arial"/>
        </w:rPr>
      </w:pPr>
      <w:r w:rsidRPr="001D26A4">
        <w:rPr>
          <w:rFonts w:cs="Arial"/>
        </w:rPr>
        <w:t xml:space="preserve">La validation pharmaceutique du </w:t>
      </w:r>
      <w:r w:rsidRPr="001D26A4">
        <w:rPr>
          <w:rFonts w:cs="Arial"/>
          <w:i/>
        </w:rPr>
        <w:t>prestataire</w:t>
      </w:r>
      <w:r w:rsidRPr="001D26A4">
        <w:rPr>
          <w:rFonts w:cs="Arial"/>
        </w:rPr>
        <w:t xml:space="preserve"> a pour objet d’évaluer la faisabilité de la préparation.</w:t>
      </w:r>
    </w:p>
    <w:p w:rsidR="00B169FE" w:rsidRDefault="00B169FE" w:rsidP="00B169FE">
      <w:pPr>
        <w:tabs>
          <w:tab w:val="left" w:pos="284"/>
          <w:tab w:val="left" w:pos="1276"/>
        </w:tabs>
        <w:spacing w:after="120"/>
        <w:rPr>
          <w:rFonts w:cs="Arial"/>
          <w:b/>
          <w:sz w:val="24"/>
          <w:szCs w:val="24"/>
        </w:rPr>
      </w:pPr>
    </w:p>
    <w:p w:rsidR="00B169FE" w:rsidRPr="00787FB3" w:rsidRDefault="00B169FE" w:rsidP="00B169FE">
      <w:pPr>
        <w:tabs>
          <w:tab w:val="left" w:pos="284"/>
          <w:tab w:val="left" w:pos="1276"/>
        </w:tabs>
        <w:spacing w:after="120"/>
        <w:rPr>
          <w:rFonts w:cs="Arial"/>
        </w:rPr>
      </w:pPr>
      <w:r w:rsidRPr="00787FB3">
        <w:rPr>
          <w:rFonts w:cs="Arial"/>
          <w:b/>
          <w:sz w:val="24"/>
          <w:szCs w:val="24"/>
        </w:rPr>
        <w:t>4.4 Transmission de l’ordre de préparation</w:t>
      </w:r>
      <w:r>
        <w:rPr>
          <w:rFonts w:cs="Arial"/>
          <w:sz w:val="24"/>
          <w:szCs w:val="24"/>
        </w:rPr>
        <w:t> </w:t>
      </w:r>
    </w:p>
    <w:p w:rsidR="00B169FE" w:rsidRPr="00222FD7" w:rsidRDefault="00B169FE" w:rsidP="00B169FE">
      <w:pPr>
        <w:pStyle w:val="Paragraphedeliste"/>
        <w:numPr>
          <w:ilvl w:val="0"/>
          <w:numId w:val="8"/>
        </w:numPr>
        <w:tabs>
          <w:tab w:val="left" w:pos="284"/>
        </w:tabs>
        <w:spacing w:after="120" w:line="276" w:lineRule="auto"/>
        <w:jc w:val="both"/>
        <w:rPr>
          <w:rFonts w:cs="Arial"/>
          <w:highlight w:val="lightGray"/>
        </w:rPr>
      </w:pPr>
      <w:r w:rsidRPr="00787FB3">
        <w:rPr>
          <w:rFonts w:cs="Arial"/>
        </w:rPr>
        <w:t xml:space="preserve">La transmission </w:t>
      </w:r>
      <w:r>
        <w:rPr>
          <w:rFonts w:cs="Arial"/>
        </w:rPr>
        <w:t>de l’ordre</w:t>
      </w:r>
      <w:r w:rsidRPr="00787FB3">
        <w:rPr>
          <w:rFonts w:cs="Arial"/>
        </w:rPr>
        <w:t xml:space="preserve"> de préparation </w:t>
      </w:r>
      <w:r w:rsidRPr="00787FB3">
        <w:rPr>
          <w:rFonts w:cs="Arial"/>
          <w:b/>
        </w:rPr>
        <w:t xml:space="preserve">sera effectuée par </w:t>
      </w:r>
      <w:r w:rsidRPr="00222FD7">
        <w:rPr>
          <w:rFonts w:cs="Arial"/>
          <w:b/>
          <w:highlight w:val="lightGray"/>
        </w:rPr>
        <w:t>le ou les</w:t>
      </w:r>
      <w:r>
        <w:rPr>
          <w:rFonts w:cs="Arial"/>
          <w:b/>
        </w:rPr>
        <w:t xml:space="preserve"> </w:t>
      </w:r>
      <w:r w:rsidRPr="00787FB3">
        <w:rPr>
          <w:rFonts w:cs="Arial"/>
          <w:b/>
        </w:rPr>
        <w:t>médecin</w:t>
      </w:r>
      <w:r>
        <w:rPr>
          <w:rFonts w:cs="Arial"/>
          <w:b/>
        </w:rPr>
        <w:t>(s)</w:t>
      </w:r>
      <w:r w:rsidRPr="00787FB3">
        <w:rPr>
          <w:rFonts w:cs="Arial"/>
          <w:b/>
        </w:rPr>
        <w:t xml:space="preserve"> responsable</w:t>
      </w:r>
      <w:r>
        <w:rPr>
          <w:rFonts w:cs="Arial"/>
          <w:b/>
        </w:rPr>
        <w:t>(s)</w:t>
      </w:r>
      <w:r w:rsidRPr="00787FB3">
        <w:rPr>
          <w:rFonts w:cs="Arial"/>
        </w:rPr>
        <w:t xml:space="preserve"> de l’établissement </w:t>
      </w:r>
      <w:r w:rsidRPr="00787FB3">
        <w:rPr>
          <w:rFonts w:cs="Arial"/>
          <w:i/>
        </w:rPr>
        <w:t xml:space="preserve">donneur d’ordre </w:t>
      </w:r>
      <w:r w:rsidRPr="00222FD7">
        <w:rPr>
          <w:rFonts w:cs="Arial"/>
          <w:highlight w:val="lightGray"/>
        </w:rPr>
        <w:t>la veille</w:t>
      </w:r>
      <w:r w:rsidRPr="00787FB3">
        <w:rPr>
          <w:rFonts w:cs="Arial"/>
        </w:rPr>
        <w:t xml:space="preserve"> de la venue du patient </w:t>
      </w:r>
      <w:r w:rsidRPr="00222FD7">
        <w:rPr>
          <w:rFonts w:cs="Arial"/>
          <w:highlight w:val="lightGray"/>
        </w:rPr>
        <w:t>(avant 14h00)</w:t>
      </w:r>
      <w:r w:rsidRPr="00787FB3">
        <w:rPr>
          <w:rFonts w:cs="Arial"/>
        </w:rPr>
        <w:t xml:space="preserve">. </w:t>
      </w:r>
      <w:r w:rsidRPr="00222FD7">
        <w:rPr>
          <w:rFonts w:cs="Arial"/>
          <w:highlight w:val="lightGray"/>
        </w:rPr>
        <w:t>Mentionner le cas particulier des molécules onéreuses. </w:t>
      </w:r>
    </w:p>
    <w:p w:rsidR="00B169FE" w:rsidRPr="00222FD7" w:rsidRDefault="00B169FE" w:rsidP="00B169FE">
      <w:pPr>
        <w:pStyle w:val="Paragraphedeliste"/>
        <w:numPr>
          <w:ilvl w:val="0"/>
          <w:numId w:val="8"/>
        </w:numPr>
        <w:tabs>
          <w:tab w:val="left" w:pos="284"/>
        </w:tabs>
        <w:spacing w:after="240" w:line="276" w:lineRule="auto"/>
        <w:jc w:val="both"/>
        <w:rPr>
          <w:rFonts w:cs="Arial"/>
          <w:highlight w:val="lightGray"/>
        </w:rPr>
      </w:pPr>
      <w:r w:rsidRPr="00222FD7">
        <w:rPr>
          <w:rFonts w:cs="Arial"/>
          <w:highlight w:val="lightGray"/>
        </w:rPr>
        <w:t>En cas de défaillance du logiciel d’aide à la prescription, une procédure dégradée de transmission des informations est mise en place (à renseigner en annexe) :</w:t>
      </w:r>
    </w:p>
    <w:p w:rsidR="00B169FE" w:rsidRPr="00222FD7" w:rsidRDefault="00B169FE" w:rsidP="00B169FE">
      <w:pPr>
        <w:pStyle w:val="Paragraphedeliste"/>
        <w:numPr>
          <w:ilvl w:val="0"/>
          <w:numId w:val="9"/>
        </w:numPr>
        <w:tabs>
          <w:tab w:val="left" w:pos="284"/>
          <w:tab w:val="left" w:pos="851"/>
        </w:tabs>
        <w:spacing w:after="240" w:line="276" w:lineRule="auto"/>
        <w:ind w:left="709" w:firstLine="0"/>
        <w:jc w:val="both"/>
        <w:rPr>
          <w:rFonts w:cs="Arial"/>
          <w:highlight w:val="lightGray"/>
        </w:rPr>
      </w:pPr>
      <w:r w:rsidRPr="00222FD7">
        <w:rPr>
          <w:rFonts w:cs="Arial"/>
          <w:highlight w:val="lightGray"/>
        </w:rPr>
        <w:t>1</w:t>
      </w:r>
      <w:r w:rsidRPr="00222FD7">
        <w:rPr>
          <w:rFonts w:cs="Arial"/>
          <w:highlight w:val="lightGray"/>
          <w:vertAlign w:val="superscript"/>
        </w:rPr>
        <w:t>er</w:t>
      </w:r>
      <w:r w:rsidRPr="00222FD7">
        <w:rPr>
          <w:rFonts w:cs="Arial"/>
          <w:highlight w:val="lightGray"/>
        </w:rPr>
        <w:t xml:space="preserve"> cas : dysfonctionnement après prescription, préciser les supports utilisés pour pallier au dysfonctionnement du logiciel et les modalités de traçabilité </w:t>
      </w:r>
    </w:p>
    <w:p w:rsidR="00B169FE" w:rsidRPr="00222FD7" w:rsidRDefault="00B169FE" w:rsidP="00B169FE">
      <w:pPr>
        <w:pStyle w:val="Paragraphedeliste"/>
        <w:numPr>
          <w:ilvl w:val="0"/>
          <w:numId w:val="9"/>
        </w:numPr>
        <w:tabs>
          <w:tab w:val="left" w:pos="284"/>
          <w:tab w:val="left" w:pos="851"/>
        </w:tabs>
        <w:spacing w:before="240" w:after="0" w:line="276" w:lineRule="auto"/>
        <w:ind w:left="708" w:firstLine="0"/>
        <w:jc w:val="both"/>
        <w:rPr>
          <w:rFonts w:cs="Arial"/>
          <w:highlight w:val="lightGray"/>
        </w:rPr>
      </w:pPr>
      <w:r w:rsidRPr="00222FD7">
        <w:rPr>
          <w:rFonts w:cs="Arial"/>
          <w:highlight w:val="lightGray"/>
        </w:rPr>
        <w:t>2</w:t>
      </w:r>
      <w:r w:rsidRPr="00222FD7">
        <w:rPr>
          <w:rFonts w:cs="Arial"/>
          <w:highlight w:val="lightGray"/>
          <w:vertAlign w:val="superscript"/>
        </w:rPr>
        <w:t>ème</w:t>
      </w:r>
      <w:r w:rsidRPr="00222FD7">
        <w:rPr>
          <w:rFonts w:cs="Arial"/>
          <w:highlight w:val="lightGray"/>
        </w:rPr>
        <w:t xml:space="preserve"> cas : dysfonctionnement avant prescription, préciser les supports utilisés pour pallier au dysfonctionnement du logiciel, les modalités de traçabilité et d’envoi des prescriptions au prestataire.</w:t>
      </w:r>
    </w:p>
    <w:p w:rsidR="00B169FE" w:rsidRPr="00222FD7" w:rsidRDefault="00B169FE" w:rsidP="00B169FE">
      <w:pPr>
        <w:pStyle w:val="Paragraphedeliste"/>
        <w:tabs>
          <w:tab w:val="left" w:pos="284"/>
          <w:tab w:val="left" w:pos="851"/>
        </w:tabs>
        <w:spacing w:before="240" w:after="0" w:line="276" w:lineRule="auto"/>
        <w:ind w:left="708"/>
        <w:rPr>
          <w:rFonts w:cs="Arial"/>
          <w:highlight w:val="lightGray"/>
        </w:rPr>
      </w:pPr>
      <w:r w:rsidRPr="00222FD7">
        <w:rPr>
          <w:rFonts w:cs="Arial"/>
          <w:highlight w:val="lightGray"/>
        </w:rPr>
        <w:t xml:space="preserve">Préciser les modalités de rédaction et validation des fiches de fabrication. </w:t>
      </w:r>
    </w:p>
    <w:p w:rsidR="00B169FE" w:rsidRPr="00787FB3" w:rsidRDefault="00B169FE" w:rsidP="00B169FE">
      <w:pPr>
        <w:tabs>
          <w:tab w:val="left" w:pos="284"/>
          <w:tab w:val="left" w:pos="851"/>
        </w:tabs>
        <w:spacing w:after="240"/>
        <w:ind w:left="708"/>
        <w:rPr>
          <w:rFonts w:cs="Arial"/>
        </w:rPr>
      </w:pPr>
      <w:r w:rsidRPr="00222FD7">
        <w:rPr>
          <w:rFonts w:cs="Arial"/>
          <w:highlight w:val="lightGray"/>
        </w:rPr>
        <w:t>Préciser les modalités de transmission de l’ordre de préparation</w:t>
      </w:r>
      <w:r>
        <w:rPr>
          <w:rFonts w:cs="Arial"/>
        </w:rPr>
        <w:t>.</w:t>
      </w:r>
    </w:p>
    <w:p w:rsidR="00B169FE" w:rsidRPr="00787FB3" w:rsidRDefault="00B169FE" w:rsidP="00B169FE">
      <w:pPr>
        <w:tabs>
          <w:tab w:val="left" w:pos="284"/>
          <w:tab w:val="left" w:pos="1276"/>
        </w:tabs>
        <w:spacing w:after="120"/>
        <w:rPr>
          <w:rFonts w:cs="Arial"/>
        </w:rPr>
      </w:pPr>
      <w:r w:rsidRPr="00787FB3">
        <w:rPr>
          <w:rFonts w:cs="Arial"/>
          <w:b/>
          <w:sz w:val="24"/>
          <w:szCs w:val="24"/>
        </w:rPr>
        <w:t>4.5 Réalisation des préparations</w:t>
      </w:r>
      <w:r>
        <w:rPr>
          <w:rFonts w:cs="Arial"/>
          <w:sz w:val="24"/>
          <w:szCs w:val="24"/>
        </w:rPr>
        <w:t> </w:t>
      </w:r>
    </w:p>
    <w:p w:rsidR="00B169FE" w:rsidRPr="00787FB3" w:rsidRDefault="00B169FE" w:rsidP="00B169FE">
      <w:pPr>
        <w:pStyle w:val="Paragraphedeliste"/>
        <w:numPr>
          <w:ilvl w:val="0"/>
          <w:numId w:val="10"/>
        </w:numPr>
        <w:tabs>
          <w:tab w:val="left" w:pos="284"/>
          <w:tab w:val="left" w:pos="851"/>
        </w:tabs>
        <w:spacing w:after="240" w:line="276" w:lineRule="auto"/>
        <w:jc w:val="both"/>
        <w:rPr>
          <w:rFonts w:cs="Arial"/>
        </w:rPr>
      </w:pPr>
      <w:r>
        <w:rPr>
          <w:rFonts w:cs="Arial"/>
        </w:rPr>
        <w:t>La préparation</w:t>
      </w:r>
      <w:r w:rsidRPr="00787FB3">
        <w:rPr>
          <w:rFonts w:cs="Arial"/>
        </w:rPr>
        <w:t xml:space="preserve"> des médicaments anticancéreux est réalisée par </w:t>
      </w:r>
      <w:r>
        <w:rPr>
          <w:rFonts w:cs="Arial"/>
        </w:rPr>
        <w:t>le</w:t>
      </w:r>
      <w:r w:rsidRPr="00787FB3">
        <w:rPr>
          <w:rFonts w:cs="Arial"/>
        </w:rPr>
        <w:t xml:space="preserve"> </w:t>
      </w:r>
      <w:r w:rsidRPr="00CC2A88">
        <w:rPr>
          <w:rFonts w:cs="Arial"/>
          <w:i/>
        </w:rPr>
        <w:t>prestataire</w:t>
      </w:r>
      <w:r w:rsidRPr="00787FB3">
        <w:rPr>
          <w:rFonts w:cs="Arial"/>
        </w:rPr>
        <w:t xml:space="preserve"> selon les Bonnes Pratiques de Préparation et dans le respect du système assurance qualité mis en place dans l’unité</w:t>
      </w:r>
    </w:p>
    <w:p w:rsidR="00B169FE" w:rsidRPr="00787FB3" w:rsidRDefault="00B169FE" w:rsidP="00B169FE">
      <w:pPr>
        <w:pStyle w:val="Paragraphedeliste"/>
        <w:numPr>
          <w:ilvl w:val="0"/>
          <w:numId w:val="10"/>
        </w:numPr>
        <w:tabs>
          <w:tab w:val="left" w:pos="284"/>
          <w:tab w:val="left" w:pos="851"/>
        </w:tabs>
        <w:spacing w:after="240" w:line="276" w:lineRule="auto"/>
        <w:jc w:val="both"/>
        <w:rPr>
          <w:rFonts w:cs="Arial"/>
        </w:rPr>
      </w:pPr>
      <w:r w:rsidRPr="00787FB3">
        <w:rPr>
          <w:rFonts w:cs="Arial"/>
        </w:rPr>
        <w:t xml:space="preserve">La faisabilité des préparations est évaluée par le pharmacien </w:t>
      </w:r>
      <w:r w:rsidRPr="00CC2A88">
        <w:rPr>
          <w:rFonts w:cs="Arial"/>
        </w:rPr>
        <w:t>de</w:t>
      </w:r>
      <w:r>
        <w:rPr>
          <w:rFonts w:cs="Arial"/>
          <w:i/>
        </w:rPr>
        <w:t xml:space="preserve"> </w:t>
      </w:r>
      <w:r w:rsidRPr="001728C0">
        <w:rPr>
          <w:rFonts w:cs="Arial"/>
        </w:rPr>
        <w:t xml:space="preserve">l’établissement </w:t>
      </w:r>
      <w:r w:rsidRPr="00787FB3">
        <w:rPr>
          <w:rFonts w:cs="Arial"/>
          <w:i/>
        </w:rPr>
        <w:t>prestataire</w:t>
      </w:r>
    </w:p>
    <w:p w:rsidR="00B169FE" w:rsidRPr="00787FB3" w:rsidRDefault="00B169FE" w:rsidP="00B169FE">
      <w:pPr>
        <w:pStyle w:val="Paragraphedeliste"/>
        <w:numPr>
          <w:ilvl w:val="0"/>
          <w:numId w:val="10"/>
        </w:numPr>
        <w:tabs>
          <w:tab w:val="left" w:pos="284"/>
          <w:tab w:val="left" w:pos="851"/>
        </w:tabs>
        <w:spacing w:after="240" w:line="276" w:lineRule="auto"/>
        <w:jc w:val="both"/>
        <w:rPr>
          <w:rFonts w:cs="Arial"/>
        </w:rPr>
      </w:pPr>
      <w:r w:rsidRPr="00787FB3">
        <w:rPr>
          <w:rFonts w:cs="Arial"/>
        </w:rPr>
        <w:t xml:space="preserve">La préparation de médicaments anticancéreux stériles est réalisée </w:t>
      </w:r>
      <w:r>
        <w:rPr>
          <w:rFonts w:cs="Arial"/>
        </w:rPr>
        <w:t xml:space="preserve">après réception de l’ordre de préparation </w:t>
      </w:r>
      <w:r w:rsidRPr="00787FB3">
        <w:rPr>
          <w:rFonts w:cs="Arial"/>
        </w:rPr>
        <w:t>selon les modalités définies au paragraphe 4.4.</w:t>
      </w:r>
    </w:p>
    <w:p w:rsidR="00B169FE" w:rsidRPr="00787FB3" w:rsidRDefault="00B169FE" w:rsidP="00B169FE">
      <w:pPr>
        <w:tabs>
          <w:tab w:val="left" w:pos="284"/>
          <w:tab w:val="left" w:pos="851"/>
        </w:tabs>
        <w:spacing w:after="240"/>
        <w:rPr>
          <w:rFonts w:cs="Arial"/>
          <w:b/>
          <w:sz w:val="24"/>
          <w:szCs w:val="24"/>
        </w:rPr>
      </w:pPr>
      <w:r>
        <w:rPr>
          <w:rFonts w:cs="Arial"/>
          <w:b/>
          <w:sz w:val="24"/>
          <w:szCs w:val="24"/>
        </w:rPr>
        <w:t>4.6 Contrôle et libération </w:t>
      </w:r>
    </w:p>
    <w:p w:rsidR="00B169FE" w:rsidRPr="00222FD7" w:rsidRDefault="00B169FE" w:rsidP="00B169FE">
      <w:pPr>
        <w:pStyle w:val="Paragraphedeliste"/>
        <w:tabs>
          <w:tab w:val="left" w:pos="284"/>
          <w:tab w:val="left" w:pos="851"/>
        </w:tabs>
        <w:spacing w:after="240" w:line="276" w:lineRule="auto"/>
        <w:ind w:left="0"/>
        <w:rPr>
          <w:rFonts w:cs="Arial"/>
          <w:highlight w:val="lightGray"/>
        </w:rPr>
      </w:pPr>
      <w:r w:rsidRPr="0056700E">
        <w:rPr>
          <w:rFonts w:cs="Arial"/>
        </w:rPr>
        <w:t>Chaque produit fini est contrôlé et libéré par une personne habilitée à cette fonction</w:t>
      </w:r>
    </w:p>
    <w:p w:rsidR="00B169FE" w:rsidRPr="00222FD7" w:rsidRDefault="00B169FE" w:rsidP="00B169FE">
      <w:pPr>
        <w:pStyle w:val="Paragraphedeliste"/>
        <w:numPr>
          <w:ilvl w:val="0"/>
          <w:numId w:val="11"/>
        </w:numPr>
        <w:tabs>
          <w:tab w:val="left" w:pos="284"/>
          <w:tab w:val="left" w:pos="851"/>
        </w:tabs>
        <w:spacing w:after="240" w:line="276" w:lineRule="auto"/>
        <w:jc w:val="both"/>
        <w:rPr>
          <w:rFonts w:cs="Arial"/>
          <w:highlight w:val="lightGray"/>
        </w:rPr>
      </w:pPr>
      <w:r w:rsidRPr="00222FD7">
        <w:rPr>
          <w:rFonts w:cs="Arial"/>
          <w:highlight w:val="lightGray"/>
        </w:rPr>
        <w:t xml:space="preserve">Définir les modalités de contrôle des préparations, pour chaque partie (double contrôle enregistré entre préparateurs </w:t>
      </w:r>
      <w:r w:rsidRPr="00222FD7">
        <w:rPr>
          <w:rFonts w:cs="Arial"/>
          <w:i/>
          <w:highlight w:val="lightGray"/>
        </w:rPr>
        <w:t>a minima</w:t>
      </w:r>
      <w:r w:rsidRPr="00222FD7">
        <w:rPr>
          <w:rFonts w:cs="Arial"/>
          <w:highlight w:val="lightGray"/>
        </w:rPr>
        <w:t>, contrôle analytique ou gravimétrique, etc.)</w:t>
      </w:r>
    </w:p>
    <w:p w:rsidR="00B169FE" w:rsidRPr="00222FD7" w:rsidRDefault="00B169FE" w:rsidP="00B169FE">
      <w:pPr>
        <w:pStyle w:val="Paragraphedeliste"/>
        <w:numPr>
          <w:ilvl w:val="0"/>
          <w:numId w:val="11"/>
        </w:numPr>
        <w:tabs>
          <w:tab w:val="left" w:pos="284"/>
          <w:tab w:val="left" w:pos="851"/>
        </w:tabs>
        <w:spacing w:after="240" w:line="276" w:lineRule="auto"/>
        <w:jc w:val="both"/>
        <w:rPr>
          <w:rFonts w:cs="Arial"/>
          <w:highlight w:val="lightGray"/>
        </w:rPr>
      </w:pPr>
      <w:r w:rsidRPr="00222FD7">
        <w:rPr>
          <w:rFonts w:cs="Arial"/>
          <w:highlight w:val="lightGray"/>
        </w:rPr>
        <w:t xml:space="preserve">Définir les modalités de libération des préparations, pour chaque partie </w:t>
      </w:r>
    </w:p>
    <w:p w:rsidR="00B169FE" w:rsidRPr="00222FD7" w:rsidRDefault="00B169FE" w:rsidP="00B169FE">
      <w:pPr>
        <w:pStyle w:val="Paragraphedeliste"/>
        <w:numPr>
          <w:ilvl w:val="0"/>
          <w:numId w:val="11"/>
        </w:numPr>
        <w:tabs>
          <w:tab w:val="left" w:pos="284"/>
          <w:tab w:val="left" w:pos="851"/>
        </w:tabs>
        <w:spacing w:after="240" w:line="276" w:lineRule="auto"/>
        <w:jc w:val="both"/>
        <w:rPr>
          <w:rFonts w:cs="Arial"/>
          <w:highlight w:val="lightGray"/>
        </w:rPr>
      </w:pPr>
      <w:r w:rsidRPr="00222FD7">
        <w:rPr>
          <w:rFonts w:cs="Arial"/>
          <w:highlight w:val="lightGray"/>
        </w:rPr>
        <w:t>Mentionner les données renseignées sur les étiquettes (nom et prénom du patient, nom de l’établissement, service clinique, nom et dosage du médicament, nom du solvant et son volume,  numéro de lot, conditions de conservation et la date/horaire de péremption)</w:t>
      </w:r>
    </w:p>
    <w:p w:rsidR="00B169FE" w:rsidRPr="00222FD7" w:rsidRDefault="00B169FE" w:rsidP="00B169FE">
      <w:pPr>
        <w:pStyle w:val="Paragraphedeliste"/>
        <w:numPr>
          <w:ilvl w:val="0"/>
          <w:numId w:val="11"/>
        </w:numPr>
        <w:tabs>
          <w:tab w:val="left" w:pos="284"/>
          <w:tab w:val="left" w:pos="851"/>
        </w:tabs>
        <w:spacing w:after="0" w:line="276" w:lineRule="auto"/>
        <w:jc w:val="both"/>
        <w:rPr>
          <w:rFonts w:cs="Arial"/>
          <w:highlight w:val="lightGray"/>
        </w:rPr>
      </w:pPr>
      <w:r w:rsidRPr="00222FD7">
        <w:rPr>
          <w:rFonts w:cs="Arial"/>
          <w:highlight w:val="lightGray"/>
        </w:rPr>
        <w:lastRenderedPageBreak/>
        <w:t>Décrire l’emballage secondaire des préparations Décrire les éléments de traçabilité prévus  (numéro de lot, numéro d’ordonnancier, etc.) et préciser s’ils seront transmis à l’établissement donneur d’ordre lors de la livraison de la préparation.</w:t>
      </w:r>
    </w:p>
    <w:p w:rsidR="00B169FE" w:rsidRPr="00787FB3" w:rsidRDefault="00B169FE" w:rsidP="00B169FE">
      <w:pPr>
        <w:tabs>
          <w:tab w:val="left" w:pos="284"/>
          <w:tab w:val="left" w:pos="851"/>
        </w:tabs>
        <w:spacing w:after="0"/>
        <w:rPr>
          <w:rFonts w:cs="Arial"/>
        </w:rPr>
      </w:pPr>
    </w:p>
    <w:p w:rsidR="00B169FE" w:rsidRPr="00787FB3" w:rsidRDefault="00B169FE" w:rsidP="00B169FE">
      <w:pPr>
        <w:tabs>
          <w:tab w:val="left" w:pos="284"/>
          <w:tab w:val="left" w:pos="851"/>
        </w:tabs>
        <w:spacing w:after="240"/>
        <w:rPr>
          <w:rFonts w:cs="Arial"/>
        </w:rPr>
      </w:pPr>
      <w:r w:rsidRPr="00787FB3">
        <w:rPr>
          <w:rFonts w:cs="Arial"/>
          <w:b/>
          <w:sz w:val="24"/>
          <w:szCs w:val="24"/>
        </w:rPr>
        <w:t>4.7 Modalités de conservation et de stockage de</w:t>
      </w:r>
      <w:r>
        <w:rPr>
          <w:rFonts w:cs="Arial"/>
          <w:b/>
          <w:sz w:val="24"/>
          <w:szCs w:val="24"/>
        </w:rPr>
        <w:t>s préparations avant transport </w:t>
      </w:r>
    </w:p>
    <w:p w:rsidR="00B169FE" w:rsidRPr="00787FB3" w:rsidRDefault="00B169FE" w:rsidP="00B169FE">
      <w:pPr>
        <w:tabs>
          <w:tab w:val="left" w:pos="284"/>
          <w:tab w:val="left" w:pos="851"/>
        </w:tabs>
        <w:spacing w:after="0"/>
        <w:rPr>
          <w:rFonts w:cs="Arial"/>
        </w:rPr>
      </w:pPr>
      <w:r w:rsidRPr="00222FD7">
        <w:rPr>
          <w:rFonts w:cs="Arial"/>
          <w:highlight w:val="lightGray"/>
        </w:rPr>
        <w:t xml:space="preserve">Décrire les conditions de stockage des préparations avant transport (enceinte/ réfrigérateur identifié et dédié pour le </w:t>
      </w:r>
      <w:r w:rsidRPr="00222FD7">
        <w:rPr>
          <w:rFonts w:cs="Arial"/>
          <w:i/>
          <w:highlight w:val="lightGray"/>
        </w:rPr>
        <w:t>donneur d’ordre)</w:t>
      </w:r>
      <w:r w:rsidRPr="00222FD7">
        <w:rPr>
          <w:rFonts w:cs="Arial"/>
          <w:highlight w:val="lightGray"/>
        </w:rPr>
        <w:t>.</w:t>
      </w:r>
    </w:p>
    <w:p w:rsidR="00B169FE" w:rsidRPr="00787FB3" w:rsidRDefault="00B169FE" w:rsidP="00B169FE">
      <w:pPr>
        <w:spacing w:after="200" w:line="276" w:lineRule="auto"/>
        <w:rPr>
          <w:rFonts w:cs="Arial"/>
        </w:rPr>
      </w:pPr>
      <w:r>
        <w:rPr>
          <w:rFonts w:cs="Arial"/>
          <w:b/>
          <w:sz w:val="24"/>
          <w:szCs w:val="24"/>
        </w:rPr>
        <w:t>4.8 Colisage </w:t>
      </w:r>
    </w:p>
    <w:p w:rsidR="00B169FE" w:rsidRDefault="00B169FE" w:rsidP="00B169FE">
      <w:pPr>
        <w:pStyle w:val="Retraitcorpsdetexte"/>
        <w:numPr>
          <w:ilvl w:val="0"/>
          <w:numId w:val="12"/>
        </w:numPr>
        <w:tabs>
          <w:tab w:val="left" w:pos="284"/>
          <w:tab w:val="left" w:pos="851"/>
        </w:tabs>
        <w:spacing w:before="0" w:after="0" w:line="276" w:lineRule="auto"/>
        <w:rPr>
          <w:rFonts w:cs="Arial"/>
        </w:rPr>
      </w:pPr>
      <w:r>
        <w:rPr>
          <w:rFonts w:cs="Arial"/>
        </w:rPr>
        <w:t>L</w:t>
      </w:r>
      <w:r w:rsidRPr="00A12E7A">
        <w:rPr>
          <w:rFonts w:cs="Arial"/>
        </w:rPr>
        <w:t>a qualification initiale des différents colisages utilisés a été validée par le pharmacien de l’établissement sous-traitant</w:t>
      </w:r>
      <w:r>
        <w:rPr>
          <w:rFonts w:cs="Arial"/>
        </w:rPr>
        <w:t>.</w:t>
      </w:r>
    </w:p>
    <w:p w:rsidR="00B169FE" w:rsidRPr="009C776E" w:rsidRDefault="00B169FE" w:rsidP="00B169FE">
      <w:pPr>
        <w:pStyle w:val="Retraitcorpsdetexte"/>
        <w:numPr>
          <w:ilvl w:val="0"/>
          <w:numId w:val="12"/>
        </w:numPr>
        <w:tabs>
          <w:tab w:val="left" w:pos="284"/>
          <w:tab w:val="left" w:pos="851"/>
        </w:tabs>
        <w:spacing w:before="0" w:after="0" w:line="276" w:lineRule="auto"/>
        <w:rPr>
          <w:rFonts w:cs="Arial"/>
        </w:rPr>
      </w:pPr>
      <w:r w:rsidRPr="00835A8B">
        <w:rPr>
          <w:rFonts w:cs="Arial"/>
        </w:rPr>
        <w:t xml:space="preserve">Les préparations de médicaments anticancéreux stériles sont placées par le personnel de l’UPC du </w:t>
      </w:r>
      <w:r w:rsidRPr="009C776E">
        <w:rPr>
          <w:rFonts w:cs="Arial"/>
          <w:i/>
        </w:rPr>
        <w:t xml:space="preserve">prestataire </w:t>
      </w:r>
      <w:r w:rsidRPr="009C776E">
        <w:rPr>
          <w:rFonts w:cs="Arial"/>
        </w:rPr>
        <w:t xml:space="preserve">dans </w:t>
      </w:r>
      <w:r w:rsidRPr="00222FD7">
        <w:rPr>
          <w:rFonts w:cs="Arial"/>
          <w:highlight w:val="lightGray"/>
        </w:rPr>
        <w:t>les caisses isothermes</w:t>
      </w:r>
      <w:r w:rsidRPr="009C776E">
        <w:rPr>
          <w:rFonts w:cs="Arial"/>
        </w:rPr>
        <w:t xml:space="preserve"> mises à disposition </w:t>
      </w:r>
      <w:r w:rsidRPr="00222FD7">
        <w:rPr>
          <w:rFonts w:cs="Arial"/>
          <w:highlight w:val="lightGray"/>
        </w:rPr>
        <w:t xml:space="preserve">par le </w:t>
      </w:r>
      <w:r w:rsidRPr="00222FD7">
        <w:rPr>
          <w:rFonts w:cs="Arial"/>
          <w:i/>
          <w:highlight w:val="lightGray"/>
        </w:rPr>
        <w:t>donneur d’ordre ou le prestataire</w:t>
      </w:r>
      <w:r w:rsidRPr="00222FD7">
        <w:rPr>
          <w:rFonts w:cs="Arial"/>
          <w:highlight w:val="lightGray"/>
        </w:rPr>
        <w:t>, avec des eutectiques et/ou système enregistreur de température pour les produits thermosensibles</w:t>
      </w:r>
      <w:r w:rsidRPr="009C776E">
        <w:rPr>
          <w:rFonts w:cs="Arial"/>
        </w:rPr>
        <w:t xml:space="preserve">. La zone de stockage du prestataire prévoit des </w:t>
      </w:r>
      <w:r w:rsidRPr="00222FD7">
        <w:rPr>
          <w:rFonts w:cs="Arial"/>
          <w:highlight w:val="lightGray"/>
        </w:rPr>
        <w:t>étagères</w:t>
      </w:r>
      <w:r w:rsidRPr="009C776E">
        <w:rPr>
          <w:rFonts w:cs="Arial"/>
        </w:rPr>
        <w:t xml:space="preserve"> dédiées et identifiées pour le </w:t>
      </w:r>
      <w:r w:rsidRPr="00222FD7">
        <w:rPr>
          <w:rFonts w:cs="Arial"/>
          <w:highlight w:val="lightGray"/>
        </w:rPr>
        <w:t>ou chaque</w:t>
      </w:r>
      <w:r w:rsidRPr="009C776E">
        <w:rPr>
          <w:rFonts w:cs="Arial"/>
        </w:rPr>
        <w:t xml:space="preserve"> DO.</w:t>
      </w:r>
    </w:p>
    <w:p w:rsidR="00B169FE" w:rsidRPr="00A07B34" w:rsidRDefault="00B169FE" w:rsidP="00B169FE">
      <w:pPr>
        <w:pStyle w:val="Paragraphedeliste"/>
        <w:numPr>
          <w:ilvl w:val="0"/>
          <w:numId w:val="12"/>
        </w:numPr>
        <w:tabs>
          <w:tab w:val="left" w:pos="284"/>
          <w:tab w:val="left" w:pos="851"/>
        </w:tabs>
        <w:spacing w:after="0" w:line="276" w:lineRule="auto"/>
        <w:jc w:val="both"/>
        <w:rPr>
          <w:rFonts w:cs="Arial"/>
        </w:rPr>
      </w:pPr>
      <w:r w:rsidRPr="00A07B34">
        <w:rPr>
          <w:rFonts w:cs="Arial"/>
        </w:rPr>
        <w:t xml:space="preserve">Ces caisses sont fournies et entretenues régulièrement </w:t>
      </w:r>
      <w:r w:rsidRPr="00222FD7">
        <w:rPr>
          <w:rFonts w:cs="Arial"/>
          <w:highlight w:val="lightGray"/>
        </w:rPr>
        <w:t>par le transporteur ou la PUI de la partie responsable du transport</w:t>
      </w:r>
      <w:r>
        <w:rPr>
          <w:rFonts w:cs="Arial"/>
        </w:rPr>
        <w:t xml:space="preserve"> </w:t>
      </w:r>
    </w:p>
    <w:p w:rsidR="00B169FE" w:rsidRPr="00787FB3" w:rsidRDefault="00B169FE" w:rsidP="00B169FE">
      <w:pPr>
        <w:pStyle w:val="Paragraphedeliste"/>
        <w:numPr>
          <w:ilvl w:val="0"/>
          <w:numId w:val="12"/>
        </w:numPr>
        <w:tabs>
          <w:tab w:val="left" w:pos="284"/>
          <w:tab w:val="left" w:pos="851"/>
        </w:tabs>
        <w:spacing w:after="0" w:line="276" w:lineRule="auto"/>
        <w:jc w:val="both"/>
        <w:rPr>
          <w:rFonts w:cs="Arial"/>
        </w:rPr>
      </w:pPr>
      <w:r w:rsidRPr="00787FB3">
        <w:rPr>
          <w:rFonts w:cs="Arial"/>
        </w:rPr>
        <w:t xml:space="preserve">Le </w:t>
      </w:r>
      <w:r w:rsidRPr="00241629">
        <w:rPr>
          <w:rFonts w:cs="Arial"/>
          <w:i/>
        </w:rPr>
        <w:t>prestataire</w:t>
      </w:r>
      <w:r w:rsidRPr="00787FB3">
        <w:rPr>
          <w:rFonts w:cs="Arial"/>
        </w:rPr>
        <w:t xml:space="preserve"> amorcera l’enregi</w:t>
      </w:r>
      <w:r>
        <w:rPr>
          <w:rFonts w:cs="Arial"/>
        </w:rPr>
        <w:t>streur de température juste avant</w:t>
      </w:r>
      <w:r w:rsidRPr="00787FB3">
        <w:rPr>
          <w:rFonts w:cs="Arial"/>
        </w:rPr>
        <w:t xml:space="preserve"> de sceller les caisses remises au transporteur</w:t>
      </w:r>
    </w:p>
    <w:p w:rsidR="00B169FE" w:rsidRPr="006A1A6A" w:rsidRDefault="00B169FE" w:rsidP="00B169FE">
      <w:pPr>
        <w:pStyle w:val="Paragraphedeliste"/>
        <w:numPr>
          <w:ilvl w:val="0"/>
          <w:numId w:val="12"/>
        </w:numPr>
        <w:tabs>
          <w:tab w:val="left" w:pos="284"/>
          <w:tab w:val="left" w:pos="851"/>
        </w:tabs>
        <w:spacing w:after="0" w:line="276" w:lineRule="auto"/>
        <w:jc w:val="both"/>
        <w:rPr>
          <w:rFonts w:cs="Arial"/>
        </w:rPr>
      </w:pPr>
      <w:r w:rsidRPr="00787FB3">
        <w:rPr>
          <w:rFonts w:cs="Arial"/>
        </w:rPr>
        <w:t>Chaque</w:t>
      </w:r>
      <w:r>
        <w:rPr>
          <w:rFonts w:cs="Arial"/>
        </w:rPr>
        <w:t xml:space="preserve"> livraison est accompagnée d’un </w:t>
      </w:r>
      <w:r w:rsidRPr="00222FD7">
        <w:rPr>
          <w:rFonts w:cs="Arial"/>
          <w:highlight w:val="lightGray"/>
        </w:rPr>
        <w:t xml:space="preserve">document de liaison (fiche d’acheminement) (à renseigner en annexe) </w:t>
      </w:r>
      <w:r w:rsidRPr="006A1A6A">
        <w:rPr>
          <w:rFonts w:cs="Arial"/>
        </w:rPr>
        <w:t>renseignée au départ par la PUI du prestataire et à l’arrivée par la PUI du donneur d’ordre.</w:t>
      </w:r>
    </w:p>
    <w:p w:rsidR="00B169FE" w:rsidRPr="00787FB3" w:rsidRDefault="00B169FE" w:rsidP="00B169FE">
      <w:pPr>
        <w:tabs>
          <w:tab w:val="left" w:pos="284"/>
          <w:tab w:val="left" w:pos="851"/>
        </w:tabs>
        <w:spacing w:after="0"/>
        <w:rPr>
          <w:rFonts w:cs="Arial"/>
        </w:rPr>
      </w:pPr>
    </w:p>
    <w:p w:rsidR="00B169FE" w:rsidRPr="007D5A8A" w:rsidRDefault="00B169FE" w:rsidP="00B169FE">
      <w:pPr>
        <w:tabs>
          <w:tab w:val="left" w:pos="284"/>
          <w:tab w:val="left" w:pos="851"/>
        </w:tabs>
        <w:spacing w:after="240"/>
        <w:rPr>
          <w:rFonts w:cs="Arial"/>
          <w:b/>
          <w:sz w:val="24"/>
          <w:szCs w:val="24"/>
        </w:rPr>
      </w:pPr>
      <w:r w:rsidRPr="007D5A8A">
        <w:rPr>
          <w:rFonts w:cs="Arial"/>
          <w:b/>
          <w:sz w:val="24"/>
          <w:szCs w:val="24"/>
        </w:rPr>
        <w:t>4.</w:t>
      </w:r>
      <w:r>
        <w:rPr>
          <w:rFonts w:cs="Arial"/>
          <w:b/>
          <w:sz w:val="24"/>
          <w:szCs w:val="24"/>
        </w:rPr>
        <w:t xml:space="preserve">9 </w:t>
      </w:r>
      <w:r w:rsidRPr="007D5A8A">
        <w:rPr>
          <w:rFonts w:cs="Arial"/>
          <w:b/>
          <w:sz w:val="24"/>
          <w:szCs w:val="24"/>
        </w:rPr>
        <w:t>Délai de livraison</w:t>
      </w:r>
    </w:p>
    <w:p w:rsidR="00B169FE" w:rsidRPr="007D5A8A" w:rsidRDefault="00B169FE" w:rsidP="00B169FE">
      <w:r w:rsidRPr="00222FD7">
        <w:rPr>
          <w:rFonts w:cs="Arial"/>
          <w:highlight w:val="lightGray"/>
        </w:rPr>
        <w:t xml:space="preserve">Décrire le nombre de livraisons quotidiennes, les horaires de départ chez le prestataire, le délai de livraison à ne pas excéder et préciser l’existence d’une procédure dégradée en cas d’incident sur le trajet </w:t>
      </w:r>
      <w:proofErr w:type="gramStart"/>
      <w:r w:rsidRPr="00222FD7">
        <w:rPr>
          <w:rFonts w:cs="Arial"/>
          <w:highlight w:val="lightGray"/>
        </w:rPr>
        <w:t>aller</w:t>
      </w:r>
      <w:proofErr w:type="gramEnd"/>
      <w:r w:rsidRPr="00222FD7">
        <w:rPr>
          <w:rFonts w:cs="Arial"/>
          <w:highlight w:val="lightGray"/>
        </w:rPr>
        <w:t xml:space="preserve"> ou retour du transporteur.</w:t>
      </w:r>
    </w:p>
    <w:p w:rsidR="00B169FE" w:rsidRPr="00787FB3" w:rsidRDefault="00B169FE" w:rsidP="00B169FE">
      <w:pPr>
        <w:tabs>
          <w:tab w:val="left" w:pos="284"/>
          <w:tab w:val="left" w:pos="851"/>
        </w:tabs>
        <w:spacing w:after="0"/>
        <w:rPr>
          <w:rFonts w:cs="Arial"/>
        </w:rPr>
      </w:pPr>
    </w:p>
    <w:p w:rsidR="00B169FE" w:rsidRPr="00787FB3" w:rsidRDefault="00B169FE" w:rsidP="00B169FE">
      <w:pPr>
        <w:tabs>
          <w:tab w:val="left" w:pos="284"/>
          <w:tab w:val="left" w:pos="851"/>
        </w:tabs>
        <w:spacing w:after="0"/>
        <w:rPr>
          <w:rFonts w:cs="Arial"/>
          <w:b/>
          <w:sz w:val="24"/>
          <w:szCs w:val="24"/>
        </w:rPr>
      </w:pPr>
      <w:r w:rsidRPr="00787FB3">
        <w:rPr>
          <w:rFonts w:cs="Arial"/>
          <w:b/>
          <w:sz w:val="24"/>
          <w:szCs w:val="24"/>
        </w:rPr>
        <w:t>4.10 Transport</w:t>
      </w:r>
    </w:p>
    <w:p w:rsidR="00B169FE" w:rsidRPr="00787FB3" w:rsidRDefault="00B169FE" w:rsidP="00B169FE">
      <w:pPr>
        <w:tabs>
          <w:tab w:val="left" w:pos="284"/>
          <w:tab w:val="left" w:pos="851"/>
        </w:tabs>
        <w:spacing w:after="0"/>
        <w:rPr>
          <w:rFonts w:cs="Arial"/>
        </w:rPr>
      </w:pPr>
    </w:p>
    <w:p w:rsidR="00B169FE" w:rsidRPr="00222FD7" w:rsidRDefault="00B169FE" w:rsidP="00B169FE">
      <w:pPr>
        <w:pStyle w:val="Paragraphedeliste"/>
        <w:numPr>
          <w:ilvl w:val="0"/>
          <w:numId w:val="13"/>
        </w:numPr>
        <w:tabs>
          <w:tab w:val="left" w:pos="284"/>
          <w:tab w:val="left" w:pos="851"/>
        </w:tabs>
        <w:spacing w:after="0" w:line="276" w:lineRule="auto"/>
        <w:jc w:val="both"/>
        <w:rPr>
          <w:rFonts w:cs="Arial"/>
          <w:highlight w:val="lightGray"/>
        </w:rPr>
      </w:pPr>
      <w:r>
        <w:rPr>
          <w:rFonts w:cs="Arial"/>
        </w:rPr>
        <w:t>L</w:t>
      </w:r>
      <w:r w:rsidRPr="00787FB3">
        <w:rPr>
          <w:rFonts w:cs="Arial"/>
        </w:rPr>
        <w:t xml:space="preserve">e transport sera assuré par des agents qualifiés et habilités du </w:t>
      </w:r>
      <w:r w:rsidRPr="00222FD7">
        <w:rPr>
          <w:rFonts w:cs="Arial"/>
          <w:highlight w:val="lightGray"/>
        </w:rPr>
        <w:t xml:space="preserve">service de transport interne du </w:t>
      </w:r>
      <w:r w:rsidRPr="00222FD7">
        <w:rPr>
          <w:rFonts w:cs="Arial"/>
          <w:i/>
          <w:highlight w:val="lightGray"/>
        </w:rPr>
        <w:t xml:space="preserve">donneur d’ordre </w:t>
      </w:r>
      <w:r w:rsidRPr="00222FD7">
        <w:rPr>
          <w:rFonts w:cs="Arial"/>
          <w:highlight w:val="lightGray"/>
        </w:rPr>
        <w:t>ou du</w:t>
      </w:r>
      <w:r w:rsidRPr="00222FD7">
        <w:rPr>
          <w:rFonts w:cs="Arial"/>
          <w:i/>
          <w:highlight w:val="lightGray"/>
        </w:rPr>
        <w:t xml:space="preserve"> prestataire </w:t>
      </w:r>
      <w:r w:rsidRPr="00222FD7">
        <w:rPr>
          <w:rFonts w:cs="Arial"/>
          <w:highlight w:val="lightGray"/>
        </w:rPr>
        <w:t>ou par une société extérieure</w:t>
      </w:r>
      <w:r w:rsidRPr="00787FB3">
        <w:rPr>
          <w:rFonts w:cs="Arial"/>
        </w:rPr>
        <w:t xml:space="preserve">. Leur formation intègre une formation théorique et pratique assurée en interne par un pharmacien  </w:t>
      </w:r>
      <w:r w:rsidRPr="00222FD7">
        <w:rPr>
          <w:rFonts w:cs="Arial"/>
          <w:highlight w:val="lightGray"/>
        </w:rPr>
        <w:t>de la partie responsable du transport.</w:t>
      </w:r>
    </w:p>
    <w:p w:rsidR="00B169FE" w:rsidRPr="00222FD7" w:rsidRDefault="00B169FE" w:rsidP="00B169FE">
      <w:pPr>
        <w:pStyle w:val="Paragraphedeliste"/>
        <w:numPr>
          <w:ilvl w:val="0"/>
          <w:numId w:val="13"/>
        </w:numPr>
        <w:tabs>
          <w:tab w:val="left" w:pos="284"/>
        </w:tabs>
        <w:spacing w:after="0" w:line="276" w:lineRule="auto"/>
        <w:jc w:val="both"/>
        <w:rPr>
          <w:rFonts w:cs="Arial"/>
          <w:highlight w:val="lightGray"/>
        </w:rPr>
      </w:pPr>
      <w:r w:rsidRPr="00222FD7">
        <w:rPr>
          <w:rFonts w:cs="Arial"/>
          <w:highlight w:val="lightGray"/>
        </w:rPr>
        <w:t xml:space="preserve">Les documents de formation et d’habilitation ainsi que la liste des agents habilités sont disponibles auprès du pharmacien de chaque partie. </w:t>
      </w:r>
    </w:p>
    <w:p w:rsidR="00B169FE" w:rsidRPr="00222FD7" w:rsidRDefault="00B169FE" w:rsidP="00B169FE">
      <w:pPr>
        <w:pStyle w:val="Paragraphedeliste"/>
        <w:numPr>
          <w:ilvl w:val="0"/>
          <w:numId w:val="13"/>
        </w:numPr>
        <w:tabs>
          <w:tab w:val="left" w:pos="284"/>
        </w:tabs>
        <w:spacing w:after="0" w:line="276" w:lineRule="auto"/>
        <w:jc w:val="both"/>
        <w:rPr>
          <w:rFonts w:cs="Arial"/>
          <w:highlight w:val="lightGray"/>
        </w:rPr>
      </w:pPr>
      <w:r w:rsidRPr="00222FD7">
        <w:rPr>
          <w:rFonts w:cs="Arial"/>
          <w:highlight w:val="lightGray"/>
        </w:rPr>
        <w:t xml:space="preserve">Préciser si les agents du service de transport sont responsables ou non de l’entretien du matériel de transport, notamment les containeurs. </w:t>
      </w:r>
    </w:p>
    <w:p w:rsidR="00B169FE" w:rsidRPr="00222FD7" w:rsidRDefault="00B169FE" w:rsidP="00B169FE">
      <w:pPr>
        <w:pStyle w:val="Paragraphedeliste"/>
        <w:numPr>
          <w:ilvl w:val="0"/>
          <w:numId w:val="13"/>
        </w:numPr>
        <w:tabs>
          <w:tab w:val="left" w:pos="284"/>
          <w:tab w:val="left" w:pos="851"/>
        </w:tabs>
        <w:spacing w:after="0" w:line="276" w:lineRule="auto"/>
        <w:jc w:val="both"/>
        <w:rPr>
          <w:rFonts w:cs="Arial"/>
          <w:highlight w:val="lightGray"/>
        </w:rPr>
      </w:pPr>
      <w:r w:rsidRPr="00222FD7">
        <w:rPr>
          <w:rFonts w:cs="Arial"/>
          <w:highlight w:val="lightGray"/>
        </w:rPr>
        <w:t xml:space="preserve">Décrire les équipements mis à disposition pour le transport des préparations (véhicule, caisses de transport isothermes, étanches, et </w:t>
      </w:r>
      <w:proofErr w:type="spellStart"/>
      <w:r w:rsidRPr="00222FD7">
        <w:rPr>
          <w:rFonts w:cs="Arial"/>
          <w:highlight w:val="lightGray"/>
        </w:rPr>
        <w:t>scellables</w:t>
      </w:r>
      <w:proofErr w:type="spellEnd"/>
      <w:r w:rsidRPr="00222FD7">
        <w:rPr>
          <w:rFonts w:cs="Arial"/>
          <w:highlight w:val="lightGray"/>
        </w:rPr>
        <w:t xml:space="preserve"> de différents volumes et adaptables selon la température de transport nécessaire), le suivi et l’adaptation de la température (enregistreur de température) et l’identification des caisses (identification du nom du </w:t>
      </w:r>
      <w:r w:rsidRPr="00222FD7">
        <w:rPr>
          <w:rFonts w:cs="Arial"/>
          <w:i/>
          <w:highlight w:val="lightGray"/>
        </w:rPr>
        <w:t>donneur d’ordre</w:t>
      </w:r>
      <w:r w:rsidRPr="00222FD7">
        <w:rPr>
          <w:rFonts w:cs="Arial"/>
          <w:highlight w:val="lightGray"/>
        </w:rPr>
        <w:t xml:space="preserve"> avec un logo et un étiquetage spécifiant que les caisses contiennent des anticancéreux). Présence d’un kit de sécurité en cas de contamination de l’environnement </w:t>
      </w:r>
      <w:r w:rsidRPr="00222FD7">
        <w:rPr>
          <w:rFonts w:cs="Arial"/>
          <w:highlight w:val="lightGray"/>
        </w:rPr>
        <w:lastRenderedPageBreak/>
        <w:t>par un anticancéreux. Présence de la fiche technique à suivre en cas d’incident. Cette fiche est présentée et expliquée au cours de la formation aux habilités.</w:t>
      </w:r>
    </w:p>
    <w:p w:rsidR="00B169FE" w:rsidRDefault="00B169FE" w:rsidP="00B169FE">
      <w:pPr>
        <w:pStyle w:val="Paragraphedeliste"/>
        <w:tabs>
          <w:tab w:val="left" w:pos="284"/>
          <w:tab w:val="left" w:pos="851"/>
        </w:tabs>
        <w:spacing w:before="240" w:after="0" w:line="276" w:lineRule="auto"/>
        <w:rPr>
          <w:rFonts w:cs="Arial"/>
          <w:b/>
          <w:sz w:val="24"/>
          <w:szCs w:val="24"/>
        </w:rPr>
      </w:pPr>
    </w:p>
    <w:p w:rsidR="00B169FE" w:rsidRPr="00655C3C" w:rsidRDefault="00B169FE" w:rsidP="00B169FE">
      <w:pPr>
        <w:pStyle w:val="Paragraphedeliste"/>
        <w:tabs>
          <w:tab w:val="left" w:pos="284"/>
          <w:tab w:val="left" w:pos="851"/>
        </w:tabs>
        <w:spacing w:before="240" w:after="0" w:line="276" w:lineRule="auto"/>
        <w:ind w:left="0"/>
        <w:rPr>
          <w:rFonts w:cs="Arial"/>
          <w:b/>
          <w:sz w:val="24"/>
          <w:szCs w:val="24"/>
        </w:rPr>
      </w:pPr>
      <w:r w:rsidRPr="00655C3C">
        <w:rPr>
          <w:rFonts w:cs="Arial"/>
          <w:b/>
          <w:sz w:val="24"/>
          <w:szCs w:val="24"/>
        </w:rPr>
        <w:t xml:space="preserve">4.11 Réception et contrôle qualité des préparations </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L</w:t>
      </w:r>
      <w:r w:rsidRPr="007E56BC">
        <w:rPr>
          <w:rFonts w:cs="Arial"/>
        </w:rPr>
        <w:t xml:space="preserve">es </w:t>
      </w:r>
      <w:r w:rsidRPr="00787FB3">
        <w:rPr>
          <w:rFonts w:cs="Arial"/>
        </w:rPr>
        <w:t>préparations de médicaments anticancéreux stériles</w:t>
      </w:r>
      <w:r w:rsidRPr="007E56BC">
        <w:rPr>
          <w:rFonts w:cs="Arial"/>
        </w:rPr>
        <w:t xml:space="preserve"> sont livrées </w:t>
      </w:r>
      <w:r>
        <w:rPr>
          <w:rFonts w:cs="Arial"/>
        </w:rPr>
        <w:t xml:space="preserve">à la PUI du </w:t>
      </w:r>
      <w:r w:rsidRPr="009A6507">
        <w:rPr>
          <w:rFonts w:cs="Arial"/>
          <w:i/>
        </w:rPr>
        <w:t>donneur d’ordre</w:t>
      </w:r>
      <w:r>
        <w:rPr>
          <w:rFonts w:cs="Arial"/>
        </w:rPr>
        <w:t xml:space="preserve"> et </w:t>
      </w:r>
      <w:r w:rsidRPr="007E56BC">
        <w:rPr>
          <w:rFonts w:cs="Arial"/>
        </w:rPr>
        <w:t xml:space="preserve">réceptionnées par un pharmacien </w:t>
      </w:r>
      <w:r>
        <w:rPr>
          <w:rFonts w:cs="Arial"/>
        </w:rPr>
        <w:t>ou un préparateur</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U</w:t>
      </w:r>
      <w:r w:rsidRPr="007E56BC">
        <w:rPr>
          <w:rFonts w:cs="Arial"/>
        </w:rPr>
        <w:t xml:space="preserve">n pharmacien </w:t>
      </w:r>
      <w:r>
        <w:rPr>
          <w:rFonts w:cs="Arial"/>
        </w:rPr>
        <w:t>ou un préparateur</w:t>
      </w:r>
      <w:r w:rsidRPr="007E56BC">
        <w:rPr>
          <w:rFonts w:cs="Arial"/>
        </w:rPr>
        <w:t xml:space="preserve"> vérifie </w:t>
      </w:r>
      <w:r>
        <w:rPr>
          <w:rFonts w:cs="Arial"/>
        </w:rPr>
        <w:t>l’intégralité de</w:t>
      </w:r>
      <w:r w:rsidRPr="007E56BC">
        <w:rPr>
          <w:rFonts w:cs="Arial"/>
        </w:rPr>
        <w:t>s scellés et le respect des températures de conservation des préparations au cours du transport</w:t>
      </w:r>
      <w:r>
        <w:rPr>
          <w:rFonts w:cs="Arial"/>
        </w:rPr>
        <w:t xml:space="preserve"> selon les informations transmises par le </w:t>
      </w:r>
      <w:r w:rsidRPr="00D40945">
        <w:rPr>
          <w:rFonts w:cs="Arial"/>
          <w:i/>
        </w:rPr>
        <w:t>prestataire</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En regard de la prescription, le pharmacien contrôle les éléments suivants</w:t>
      </w:r>
      <w:r w:rsidRPr="007E56BC">
        <w:rPr>
          <w:rFonts w:cs="Arial"/>
        </w:rPr>
        <w:t xml:space="preserve"> : identité des patients, </w:t>
      </w:r>
      <w:r>
        <w:rPr>
          <w:rFonts w:cs="Arial"/>
        </w:rPr>
        <w:t xml:space="preserve">médicament </w:t>
      </w:r>
      <w:r w:rsidRPr="007E56BC">
        <w:rPr>
          <w:rFonts w:cs="Arial"/>
        </w:rPr>
        <w:t>anticancéreux, doses, solvant, volume, péremption</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U</w:t>
      </w:r>
      <w:r w:rsidRPr="007E56BC">
        <w:rPr>
          <w:rFonts w:cs="Arial"/>
        </w:rPr>
        <w:t xml:space="preserve">n pharmacien </w:t>
      </w:r>
      <w:r>
        <w:rPr>
          <w:rFonts w:cs="Arial"/>
        </w:rPr>
        <w:t xml:space="preserve">ou un préparateur </w:t>
      </w:r>
      <w:r w:rsidRPr="007E56BC">
        <w:rPr>
          <w:rFonts w:cs="Arial"/>
        </w:rPr>
        <w:t xml:space="preserve">émarge </w:t>
      </w:r>
      <w:r>
        <w:rPr>
          <w:rFonts w:cs="Arial"/>
        </w:rPr>
        <w:t xml:space="preserve">le </w:t>
      </w:r>
      <w:r w:rsidRPr="00222FD7">
        <w:rPr>
          <w:rFonts w:cs="Arial"/>
          <w:highlight w:val="lightGray"/>
        </w:rPr>
        <w:t>document de liaison (fiche d’acheminement)</w:t>
      </w:r>
      <w:r w:rsidRPr="007E56BC">
        <w:rPr>
          <w:rFonts w:cs="Arial"/>
        </w:rPr>
        <w:t xml:space="preserve"> </w:t>
      </w:r>
      <w:r>
        <w:rPr>
          <w:rFonts w:cs="Arial"/>
        </w:rPr>
        <w:t>et l’archive</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T</w:t>
      </w:r>
      <w:r w:rsidRPr="007E56BC">
        <w:rPr>
          <w:rFonts w:cs="Arial"/>
        </w:rPr>
        <w:t xml:space="preserve">oute non-conformité constatée par la PUI du </w:t>
      </w:r>
      <w:r w:rsidRPr="00D40945">
        <w:rPr>
          <w:rFonts w:cs="Arial"/>
          <w:i/>
        </w:rPr>
        <w:t>donneur d’ordre</w:t>
      </w:r>
      <w:r w:rsidRPr="007E56BC">
        <w:rPr>
          <w:rFonts w:cs="Arial"/>
        </w:rPr>
        <w:t xml:space="preserve"> est notifiée </w:t>
      </w:r>
      <w:r>
        <w:rPr>
          <w:rFonts w:cs="Arial"/>
        </w:rPr>
        <w:t>à l’UPC du</w:t>
      </w:r>
      <w:r w:rsidRPr="007E56BC">
        <w:rPr>
          <w:rFonts w:cs="Arial"/>
        </w:rPr>
        <w:t xml:space="preserve"> </w:t>
      </w:r>
      <w:r w:rsidRPr="00D40945">
        <w:rPr>
          <w:rFonts w:cs="Arial"/>
          <w:i/>
        </w:rPr>
        <w:t>prestataire</w:t>
      </w:r>
      <w:r w:rsidRPr="007E56BC">
        <w:rPr>
          <w:rFonts w:cs="Arial"/>
        </w:rPr>
        <w:t xml:space="preserve"> sur</w:t>
      </w:r>
      <w:r>
        <w:rPr>
          <w:rFonts w:cs="Arial"/>
        </w:rPr>
        <w:t xml:space="preserve"> </w:t>
      </w:r>
      <w:proofErr w:type="gramStart"/>
      <w:r>
        <w:rPr>
          <w:rFonts w:cs="Arial"/>
        </w:rPr>
        <w:t>la</w:t>
      </w:r>
      <w:proofErr w:type="gramEnd"/>
      <w:r w:rsidRPr="007E56BC">
        <w:rPr>
          <w:rFonts w:cs="Arial"/>
        </w:rPr>
        <w:t xml:space="preserve"> </w:t>
      </w:r>
      <w:r w:rsidRPr="00222FD7">
        <w:rPr>
          <w:rFonts w:cs="Arial"/>
          <w:highlight w:val="lightGray"/>
        </w:rPr>
        <w:t>document de liaison (fiche d’acheminement)</w:t>
      </w:r>
      <w:r>
        <w:rPr>
          <w:rFonts w:cs="Arial"/>
        </w:rPr>
        <w:t>.</w:t>
      </w:r>
      <w:r w:rsidRPr="007E56BC">
        <w:rPr>
          <w:rFonts w:cs="Arial"/>
        </w:rPr>
        <w:t xml:space="preserve"> </w:t>
      </w:r>
      <w:r>
        <w:rPr>
          <w:rFonts w:cs="Arial"/>
        </w:rPr>
        <w:t>Le pharmacien de la PUI du</w:t>
      </w:r>
      <w:r w:rsidRPr="007E56BC">
        <w:rPr>
          <w:rFonts w:cs="Arial"/>
        </w:rPr>
        <w:t xml:space="preserve"> </w:t>
      </w:r>
      <w:r w:rsidRPr="00D40945">
        <w:rPr>
          <w:rFonts w:cs="Arial"/>
          <w:i/>
        </w:rPr>
        <w:t xml:space="preserve">donneur d’ordre </w:t>
      </w:r>
      <w:r w:rsidRPr="007E56BC">
        <w:rPr>
          <w:rFonts w:cs="Arial"/>
        </w:rPr>
        <w:t xml:space="preserve">contacte le pharmacien </w:t>
      </w:r>
      <w:r>
        <w:rPr>
          <w:rFonts w:cs="Arial"/>
        </w:rPr>
        <w:t xml:space="preserve">de l’UPC </w:t>
      </w:r>
      <w:r w:rsidRPr="007E56BC">
        <w:rPr>
          <w:rFonts w:cs="Arial"/>
        </w:rPr>
        <w:t xml:space="preserve">du </w:t>
      </w:r>
      <w:r w:rsidRPr="00D40945">
        <w:rPr>
          <w:rFonts w:cs="Arial"/>
          <w:i/>
        </w:rPr>
        <w:t>prestataire</w:t>
      </w:r>
      <w:r w:rsidRPr="007E56BC">
        <w:rPr>
          <w:rFonts w:cs="Arial"/>
        </w:rPr>
        <w:t xml:space="preserve"> pour trouver une solution adaptée</w:t>
      </w:r>
    </w:p>
    <w:p w:rsidR="00B169FE" w:rsidRPr="007E56BC" w:rsidRDefault="00B169FE" w:rsidP="00B169FE">
      <w:pPr>
        <w:pStyle w:val="Paragraphedeliste"/>
        <w:numPr>
          <w:ilvl w:val="0"/>
          <w:numId w:val="14"/>
        </w:numPr>
        <w:tabs>
          <w:tab w:val="left" w:pos="284"/>
          <w:tab w:val="left" w:pos="851"/>
        </w:tabs>
        <w:spacing w:before="240" w:after="0" w:line="276" w:lineRule="auto"/>
        <w:jc w:val="both"/>
        <w:rPr>
          <w:rFonts w:cs="Arial"/>
        </w:rPr>
      </w:pPr>
      <w:r>
        <w:rPr>
          <w:rFonts w:cs="Arial"/>
        </w:rPr>
        <w:t>U</w:t>
      </w:r>
      <w:r w:rsidRPr="007E56BC">
        <w:rPr>
          <w:rFonts w:cs="Arial"/>
        </w:rPr>
        <w:t xml:space="preserve">n kit d’urgence en cas de contamination de l’environnement par un cytostatique est présent à tout moment </w:t>
      </w:r>
      <w:r>
        <w:rPr>
          <w:rFonts w:cs="Arial"/>
        </w:rPr>
        <w:t xml:space="preserve">dans le local de réception des préparations (PUI et service de soins). </w:t>
      </w:r>
      <w:r w:rsidRPr="007E56BC">
        <w:rPr>
          <w:rFonts w:cs="Arial"/>
        </w:rPr>
        <w:t>Il contient la fiche technique à suivre en cas d’incident.</w:t>
      </w:r>
    </w:p>
    <w:p w:rsidR="00B169FE" w:rsidRDefault="00B169FE" w:rsidP="00B169FE">
      <w:pPr>
        <w:spacing w:after="200" w:line="276" w:lineRule="auto"/>
        <w:rPr>
          <w:rFonts w:cs="Arial"/>
          <w:b/>
          <w:sz w:val="24"/>
          <w:szCs w:val="24"/>
        </w:rPr>
      </w:pPr>
    </w:p>
    <w:p w:rsidR="00B169FE" w:rsidRPr="00787FB3" w:rsidRDefault="00B169FE" w:rsidP="00B169FE">
      <w:pPr>
        <w:spacing w:after="200" w:line="276" w:lineRule="auto"/>
        <w:rPr>
          <w:rFonts w:cs="Arial"/>
          <w:b/>
          <w:sz w:val="24"/>
          <w:szCs w:val="24"/>
        </w:rPr>
      </w:pPr>
      <w:r w:rsidRPr="00787FB3">
        <w:rPr>
          <w:rFonts w:cs="Arial"/>
          <w:b/>
          <w:sz w:val="24"/>
          <w:szCs w:val="24"/>
        </w:rPr>
        <w:t>4.12 Archivage des documents</w:t>
      </w:r>
    </w:p>
    <w:p w:rsidR="00B169FE" w:rsidRDefault="00B169FE" w:rsidP="00B169FE">
      <w:pPr>
        <w:tabs>
          <w:tab w:val="left" w:pos="284"/>
          <w:tab w:val="left" w:pos="851"/>
        </w:tabs>
        <w:spacing w:before="240" w:after="0"/>
        <w:rPr>
          <w:rFonts w:cs="Arial"/>
        </w:rPr>
      </w:pPr>
      <w:r w:rsidRPr="00222FD7">
        <w:rPr>
          <w:rFonts w:cs="Arial"/>
          <w:highlight w:val="lightGray"/>
        </w:rPr>
        <w:t>Décrire les modalités (personnel responsable, support, fréquence, durée, lieu, droits de regard) de sauvegarde des données du logiciel d’aide à la prescription, des fiches d’acheminement, dossiers de lot de préparation, etc.</w:t>
      </w:r>
    </w:p>
    <w:p w:rsidR="00B169FE" w:rsidRDefault="00B169FE" w:rsidP="00B169FE">
      <w:pPr>
        <w:tabs>
          <w:tab w:val="left" w:pos="284"/>
          <w:tab w:val="left" w:pos="851"/>
        </w:tabs>
        <w:spacing w:before="240" w:after="0"/>
        <w:rPr>
          <w:rFonts w:cs="Arial"/>
          <w:b/>
          <w:sz w:val="24"/>
          <w:szCs w:val="24"/>
        </w:rPr>
      </w:pPr>
      <w:r w:rsidRPr="007D4B38">
        <w:rPr>
          <w:rFonts w:cs="Arial"/>
          <w:b/>
          <w:sz w:val="24"/>
          <w:szCs w:val="24"/>
        </w:rPr>
        <w:t>4.13 Gestion des non-conformités</w:t>
      </w:r>
    </w:p>
    <w:p w:rsidR="00B169FE" w:rsidRDefault="00B169FE" w:rsidP="00B169FE">
      <w:pPr>
        <w:tabs>
          <w:tab w:val="left" w:pos="284"/>
          <w:tab w:val="left" w:pos="851"/>
        </w:tabs>
        <w:spacing w:before="120" w:after="0"/>
        <w:rPr>
          <w:rFonts w:cs="Arial"/>
        </w:rPr>
      </w:pPr>
      <w:r w:rsidRPr="00222FD7">
        <w:rPr>
          <w:rFonts w:cs="Arial"/>
          <w:highlight w:val="lightGray"/>
        </w:rPr>
        <w:t>Un document de déclaration et de gestion des non-conformités est disponible dans chaque partie.</w:t>
      </w:r>
    </w:p>
    <w:p w:rsidR="00B169FE" w:rsidRDefault="00B169FE" w:rsidP="00B169FE">
      <w:pPr>
        <w:tabs>
          <w:tab w:val="left" w:pos="284"/>
          <w:tab w:val="left" w:pos="851"/>
        </w:tabs>
        <w:spacing w:before="120" w:after="0"/>
        <w:rPr>
          <w:rFonts w:cs="Arial"/>
        </w:rPr>
      </w:pPr>
      <w:r w:rsidRPr="0083384A">
        <w:rPr>
          <w:rFonts w:cs="Arial"/>
        </w:rPr>
        <w:t>N</w:t>
      </w:r>
      <w:r>
        <w:rPr>
          <w:rFonts w:cs="Arial"/>
        </w:rPr>
        <w:t>on-conformité de la préparation constatée par le prestataire :</w:t>
      </w:r>
    </w:p>
    <w:p w:rsidR="00B169FE" w:rsidRDefault="00B169FE" w:rsidP="00B169FE">
      <w:pPr>
        <w:tabs>
          <w:tab w:val="left" w:pos="284"/>
          <w:tab w:val="left" w:pos="851"/>
        </w:tabs>
        <w:spacing w:after="0"/>
        <w:rPr>
          <w:rFonts w:cs="Arial"/>
        </w:rPr>
      </w:pPr>
      <w:r>
        <w:rPr>
          <w:rFonts w:cs="Arial"/>
        </w:rPr>
        <w:t>Le pharmacien du prestataire préviendra le pharmacien donneur d’ordre afin que celui-ci reprogramme, si nécessaire, une préparation pour une administration en temps et en heure sans aucune majoration de facturation.</w:t>
      </w:r>
    </w:p>
    <w:p w:rsidR="00B169FE" w:rsidRDefault="00B169FE" w:rsidP="00B169FE">
      <w:pPr>
        <w:tabs>
          <w:tab w:val="left" w:pos="284"/>
          <w:tab w:val="left" w:pos="851"/>
        </w:tabs>
        <w:spacing w:after="0"/>
        <w:rPr>
          <w:rFonts w:cs="Arial"/>
        </w:rPr>
      </w:pPr>
    </w:p>
    <w:p w:rsidR="00B169FE" w:rsidRDefault="00B169FE" w:rsidP="00B169FE">
      <w:pPr>
        <w:tabs>
          <w:tab w:val="left" w:pos="284"/>
          <w:tab w:val="left" w:pos="851"/>
        </w:tabs>
        <w:spacing w:after="0"/>
        <w:rPr>
          <w:rFonts w:cs="Arial"/>
        </w:rPr>
      </w:pPr>
      <w:r w:rsidRPr="0083384A">
        <w:rPr>
          <w:rFonts w:cs="Arial"/>
        </w:rPr>
        <w:t>N</w:t>
      </w:r>
      <w:r>
        <w:rPr>
          <w:rFonts w:cs="Arial"/>
        </w:rPr>
        <w:t>on-conformité de la préparation constatée par le donneur d’ordre :</w:t>
      </w:r>
    </w:p>
    <w:p w:rsidR="00B169FE" w:rsidRDefault="00B169FE" w:rsidP="00B169FE">
      <w:pPr>
        <w:tabs>
          <w:tab w:val="left" w:pos="284"/>
          <w:tab w:val="left" w:pos="851"/>
        </w:tabs>
        <w:spacing w:after="0"/>
        <w:rPr>
          <w:rFonts w:cs="Arial"/>
        </w:rPr>
      </w:pPr>
      <w:r>
        <w:rPr>
          <w:rFonts w:cs="Arial"/>
        </w:rPr>
        <w:t>Le pharmacien du donneur d’ordre prend contact avec le pharmacien prestataire pour trouver une solution, conforme aux besoins du malade.</w:t>
      </w:r>
    </w:p>
    <w:p w:rsidR="00B169FE" w:rsidRDefault="00B169FE" w:rsidP="00B169FE">
      <w:pPr>
        <w:tabs>
          <w:tab w:val="left" w:pos="284"/>
          <w:tab w:val="left" w:pos="851"/>
        </w:tabs>
        <w:spacing w:after="0"/>
        <w:rPr>
          <w:rFonts w:cs="Arial"/>
        </w:rPr>
      </w:pPr>
    </w:p>
    <w:p w:rsidR="00B169FE" w:rsidRPr="00A12E7A" w:rsidRDefault="00B169FE" w:rsidP="00B169FE">
      <w:pPr>
        <w:tabs>
          <w:tab w:val="left" w:pos="284"/>
          <w:tab w:val="left" w:pos="851"/>
        </w:tabs>
        <w:spacing w:after="0"/>
        <w:rPr>
          <w:rFonts w:cs="Arial"/>
        </w:rPr>
      </w:pPr>
      <w:r w:rsidRPr="00A12E7A">
        <w:rPr>
          <w:rFonts w:cs="Arial"/>
        </w:rPr>
        <w:t>Non-conformité des horaires de livraison :</w:t>
      </w:r>
    </w:p>
    <w:p w:rsidR="00B169FE" w:rsidRDefault="00B169FE" w:rsidP="00B169FE">
      <w:pPr>
        <w:tabs>
          <w:tab w:val="left" w:pos="284"/>
          <w:tab w:val="left" w:pos="851"/>
        </w:tabs>
        <w:spacing w:after="0"/>
        <w:rPr>
          <w:rFonts w:cs="Arial"/>
        </w:rPr>
      </w:pPr>
      <w:r w:rsidRPr="00222FD7">
        <w:rPr>
          <w:rFonts w:cs="Arial"/>
          <w:highlight w:val="lightGray"/>
        </w:rPr>
        <w:t xml:space="preserve">Les parties doivent définir les modalités de reprogrammation d’une préparation en cas de retard de livraison au-delà du délai de conservation. </w:t>
      </w:r>
    </w:p>
    <w:p w:rsidR="00B169FE" w:rsidRDefault="00B169FE" w:rsidP="00B169FE">
      <w:pPr>
        <w:tabs>
          <w:tab w:val="left" w:pos="284"/>
          <w:tab w:val="left" w:pos="851"/>
        </w:tabs>
        <w:spacing w:after="0"/>
        <w:rPr>
          <w:rFonts w:cs="Arial"/>
          <w:b/>
          <w:sz w:val="24"/>
          <w:szCs w:val="24"/>
        </w:rPr>
      </w:pPr>
    </w:p>
    <w:p w:rsidR="00B169FE" w:rsidRDefault="00B169FE" w:rsidP="00B169FE">
      <w:pPr>
        <w:tabs>
          <w:tab w:val="left" w:pos="284"/>
          <w:tab w:val="left" w:pos="851"/>
        </w:tabs>
        <w:spacing w:after="0"/>
        <w:rPr>
          <w:rFonts w:cs="Arial"/>
          <w:b/>
          <w:sz w:val="24"/>
          <w:szCs w:val="24"/>
        </w:rPr>
      </w:pPr>
    </w:p>
    <w:p w:rsidR="00B169FE" w:rsidRDefault="00B169FE" w:rsidP="00B169FE">
      <w:pPr>
        <w:tabs>
          <w:tab w:val="left" w:pos="284"/>
          <w:tab w:val="left" w:pos="851"/>
        </w:tabs>
        <w:spacing w:after="0"/>
        <w:rPr>
          <w:rFonts w:cs="Arial"/>
          <w:b/>
          <w:sz w:val="24"/>
          <w:szCs w:val="24"/>
        </w:rPr>
      </w:pPr>
    </w:p>
    <w:p w:rsidR="00B169FE" w:rsidRPr="00787FB3" w:rsidRDefault="00B169FE" w:rsidP="00B169FE">
      <w:pPr>
        <w:tabs>
          <w:tab w:val="left" w:pos="284"/>
          <w:tab w:val="left" w:pos="851"/>
        </w:tabs>
        <w:spacing w:after="0"/>
        <w:rPr>
          <w:rFonts w:cs="Arial"/>
          <w:b/>
          <w:sz w:val="24"/>
          <w:szCs w:val="24"/>
        </w:rPr>
      </w:pPr>
      <w:r>
        <w:rPr>
          <w:rFonts w:cs="Arial"/>
          <w:b/>
          <w:sz w:val="24"/>
          <w:szCs w:val="24"/>
        </w:rPr>
        <w:lastRenderedPageBreak/>
        <w:t>4.14</w:t>
      </w:r>
      <w:r w:rsidRPr="00787FB3">
        <w:rPr>
          <w:rFonts w:cs="Arial"/>
          <w:b/>
          <w:sz w:val="24"/>
          <w:szCs w:val="24"/>
        </w:rPr>
        <w:t xml:space="preserve"> Gestion des déchets</w:t>
      </w:r>
    </w:p>
    <w:p w:rsidR="00B169FE" w:rsidRPr="007E56BC" w:rsidRDefault="00B169FE" w:rsidP="00B169FE">
      <w:pPr>
        <w:tabs>
          <w:tab w:val="left" w:pos="284"/>
          <w:tab w:val="left" w:pos="851"/>
        </w:tabs>
        <w:spacing w:before="240" w:after="0"/>
        <w:rPr>
          <w:rFonts w:cs="Arial"/>
        </w:rPr>
      </w:pPr>
      <w:r w:rsidRPr="007E56BC">
        <w:rPr>
          <w:rFonts w:cs="Arial"/>
        </w:rPr>
        <w:t>Chaque PUI utilise sa propre filière d’élimination des déchets engendrés par cette activité.</w:t>
      </w:r>
      <w:r>
        <w:rPr>
          <w:rFonts w:cs="Arial"/>
        </w:rPr>
        <w:t xml:space="preserve"> Conformément à la circulaire du 13 février 2006 relative à l’élimination des déchets générés par les traitements anticancéreux, les déchets de soins souillés de médicaments anticancéreux suivent la même filière que les déchets d’activité de soins à risques infectieux (DASRI) et sont traités dans les installations incinérant les DASRI.</w:t>
      </w:r>
    </w:p>
    <w:p w:rsidR="00B169FE" w:rsidRDefault="00B169FE" w:rsidP="00B169FE">
      <w:pPr>
        <w:tabs>
          <w:tab w:val="left" w:pos="284"/>
          <w:tab w:val="left" w:pos="851"/>
        </w:tabs>
        <w:spacing w:before="240" w:after="0"/>
        <w:rPr>
          <w:rFonts w:cs="Arial"/>
          <w:b/>
          <w:sz w:val="24"/>
          <w:szCs w:val="24"/>
        </w:rPr>
      </w:pPr>
      <w:r>
        <w:rPr>
          <w:rFonts w:cs="Arial"/>
          <w:b/>
          <w:sz w:val="24"/>
          <w:szCs w:val="24"/>
        </w:rPr>
        <w:t xml:space="preserve">4.15 </w:t>
      </w:r>
      <w:r w:rsidRPr="0083384A">
        <w:rPr>
          <w:rFonts w:cs="Arial"/>
          <w:b/>
          <w:sz w:val="24"/>
          <w:szCs w:val="24"/>
        </w:rPr>
        <w:t>Incapacité partielle ou complète de production</w:t>
      </w:r>
    </w:p>
    <w:p w:rsidR="00B169FE" w:rsidRDefault="00B169FE" w:rsidP="00B169FE">
      <w:pPr>
        <w:tabs>
          <w:tab w:val="left" w:pos="284"/>
          <w:tab w:val="left" w:pos="851"/>
        </w:tabs>
        <w:spacing w:after="0"/>
        <w:rPr>
          <w:rFonts w:cs="Arial"/>
        </w:rPr>
      </w:pPr>
      <w:r w:rsidRPr="00E92AC7">
        <w:rPr>
          <w:rFonts w:cs="Arial"/>
        </w:rPr>
        <w:t>En cas de problème impactant la production (coupure électrique, panne d’isolateur, etc</w:t>
      </w:r>
      <w:r>
        <w:rPr>
          <w:rFonts w:cs="Arial"/>
        </w:rPr>
        <w:t xml:space="preserve">.), </w:t>
      </w:r>
      <w:r w:rsidRPr="00222FD7">
        <w:rPr>
          <w:rFonts w:cs="Arial"/>
          <w:highlight w:val="lightGray"/>
        </w:rPr>
        <w:t>mentionner éventuellement si le prestataire s’engage ou non à prioriser la production des préparations du donneur d’ordre.</w:t>
      </w:r>
    </w:p>
    <w:p w:rsidR="00B169FE" w:rsidRPr="007E56BC" w:rsidRDefault="00B169FE" w:rsidP="00B169FE">
      <w:pPr>
        <w:tabs>
          <w:tab w:val="left" w:pos="284"/>
          <w:tab w:val="left" w:pos="851"/>
        </w:tabs>
        <w:spacing w:after="0"/>
        <w:rPr>
          <w:rFonts w:cs="Arial"/>
          <w:szCs w:val="24"/>
        </w:rPr>
      </w:pPr>
      <w:r w:rsidRPr="007E56BC">
        <w:rPr>
          <w:rFonts w:cs="Arial"/>
          <w:szCs w:val="24"/>
        </w:rPr>
        <w:t xml:space="preserve">Tout empêchement majeur de préparation est immédiatement signalé à la PUI du </w:t>
      </w:r>
      <w:r w:rsidRPr="00B63D2D">
        <w:rPr>
          <w:rFonts w:cs="Arial"/>
          <w:i/>
          <w:szCs w:val="24"/>
        </w:rPr>
        <w:t>donneur d’ordre</w:t>
      </w:r>
      <w:r w:rsidRPr="007E56BC">
        <w:rPr>
          <w:rFonts w:cs="Arial"/>
          <w:szCs w:val="24"/>
        </w:rPr>
        <w:t xml:space="preserve"> et les pharmaciens des deux sites étudient toute alternative en vue d’assurer le traitement des patients.</w:t>
      </w:r>
    </w:p>
    <w:p w:rsidR="00B169FE" w:rsidRPr="00787FB3" w:rsidRDefault="00B169FE" w:rsidP="00B169FE">
      <w:pPr>
        <w:tabs>
          <w:tab w:val="left" w:pos="284"/>
          <w:tab w:val="left" w:pos="851"/>
        </w:tabs>
        <w:spacing w:before="240" w:after="0"/>
        <w:rPr>
          <w:rFonts w:cs="Arial"/>
          <w:b/>
          <w:sz w:val="24"/>
          <w:szCs w:val="24"/>
        </w:rPr>
      </w:pPr>
      <w:r>
        <w:rPr>
          <w:rFonts w:cs="Arial"/>
          <w:b/>
          <w:sz w:val="24"/>
          <w:szCs w:val="24"/>
        </w:rPr>
        <w:t>4.16</w:t>
      </w:r>
      <w:r w:rsidRPr="00787FB3">
        <w:rPr>
          <w:rFonts w:cs="Arial"/>
          <w:b/>
          <w:sz w:val="24"/>
          <w:szCs w:val="24"/>
        </w:rPr>
        <w:t xml:space="preserve"> Vigilances</w:t>
      </w:r>
    </w:p>
    <w:p w:rsidR="00B169FE" w:rsidRPr="007E56BC" w:rsidRDefault="00B169FE" w:rsidP="00B169FE">
      <w:pPr>
        <w:tabs>
          <w:tab w:val="left" w:pos="284"/>
          <w:tab w:val="left" w:pos="851"/>
        </w:tabs>
        <w:spacing w:before="240" w:after="0"/>
        <w:rPr>
          <w:rFonts w:cs="Arial"/>
          <w:szCs w:val="24"/>
        </w:rPr>
      </w:pPr>
      <w:r w:rsidRPr="007E56BC">
        <w:rPr>
          <w:rFonts w:cs="Arial"/>
          <w:szCs w:val="24"/>
          <w:u w:val="single"/>
        </w:rPr>
        <w:t>Pharmacovigilance</w:t>
      </w:r>
      <w:r w:rsidRPr="007E56BC">
        <w:rPr>
          <w:rFonts w:cs="Arial"/>
          <w:szCs w:val="24"/>
        </w:rPr>
        <w:t> : en cas d</w:t>
      </w:r>
      <w:r>
        <w:rPr>
          <w:rFonts w:cs="Arial"/>
          <w:szCs w:val="24"/>
        </w:rPr>
        <w:t>’évènement indésirable associé à un médicament anticancéreux ayant fait l’objet d’une sous-traitance</w:t>
      </w:r>
      <w:r w:rsidRPr="007E56BC">
        <w:rPr>
          <w:rFonts w:cs="Arial"/>
          <w:szCs w:val="24"/>
        </w:rPr>
        <w:t xml:space="preserve">, </w:t>
      </w:r>
      <w:r>
        <w:rPr>
          <w:rFonts w:cs="Arial"/>
          <w:szCs w:val="24"/>
        </w:rPr>
        <w:t xml:space="preserve">le pharmacien de la PUI du </w:t>
      </w:r>
      <w:r w:rsidRPr="00E67366">
        <w:rPr>
          <w:rFonts w:cs="Arial"/>
          <w:i/>
          <w:szCs w:val="24"/>
        </w:rPr>
        <w:t>donneur d’ordre</w:t>
      </w:r>
      <w:r>
        <w:rPr>
          <w:rFonts w:cs="Arial"/>
          <w:szCs w:val="24"/>
        </w:rPr>
        <w:t xml:space="preserve"> notifie l’évènement au </w:t>
      </w:r>
      <w:r w:rsidRPr="007D5A8A">
        <w:rPr>
          <w:rFonts w:cs="Arial"/>
          <w:szCs w:val="24"/>
        </w:rPr>
        <w:t>Centre</w:t>
      </w:r>
      <w:r>
        <w:rPr>
          <w:rFonts w:cs="Arial"/>
          <w:szCs w:val="24"/>
        </w:rPr>
        <w:t xml:space="preserve"> Régional de Pharmacovigilance et</w:t>
      </w:r>
      <w:r w:rsidRPr="007E56BC">
        <w:rPr>
          <w:rFonts w:cs="Arial"/>
          <w:szCs w:val="24"/>
        </w:rPr>
        <w:t xml:space="preserve"> </w:t>
      </w:r>
      <w:r>
        <w:rPr>
          <w:rFonts w:cs="Arial"/>
          <w:szCs w:val="24"/>
        </w:rPr>
        <w:t>en avertit</w:t>
      </w:r>
      <w:r w:rsidRPr="007E56BC">
        <w:rPr>
          <w:rFonts w:cs="Arial"/>
          <w:szCs w:val="24"/>
        </w:rPr>
        <w:t xml:space="preserve"> le pharmacien responsable de l’UPC du </w:t>
      </w:r>
      <w:r w:rsidRPr="00D40945">
        <w:rPr>
          <w:rFonts w:cs="Arial"/>
          <w:i/>
          <w:szCs w:val="24"/>
        </w:rPr>
        <w:t>prestataire</w:t>
      </w:r>
      <w:r>
        <w:rPr>
          <w:rFonts w:cs="Arial"/>
          <w:i/>
          <w:szCs w:val="24"/>
        </w:rPr>
        <w:t>.</w:t>
      </w:r>
      <w:r>
        <w:rPr>
          <w:rFonts w:cs="Arial"/>
          <w:szCs w:val="24"/>
        </w:rPr>
        <w:t xml:space="preserve"> En cas </w:t>
      </w:r>
      <w:proofErr w:type="gramStart"/>
      <w:r>
        <w:rPr>
          <w:rFonts w:cs="Arial"/>
          <w:szCs w:val="24"/>
        </w:rPr>
        <w:t>d’erreur médicamenteuse grave, l’ES</w:t>
      </w:r>
      <w:proofErr w:type="gramEnd"/>
      <w:r>
        <w:rPr>
          <w:rFonts w:cs="Arial"/>
          <w:szCs w:val="24"/>
        </w:rPr>
        <w:t xml:space="preserve"> où s’est déroulée l’erreur devra notifier cette dernière à l’ARS Ile-de-France. </w:t>
      </w:r>
    </w:p>
    <w:p w:rsidR="00B169FE" w:rsidRDefault="00B169FE" w:rsidP="00B169FE">
      <w:pPr>
        <w:tabs>
          <w:tab w:val="left" w:pos="284"/>
          <w:tab w:val="left" w:pos="851"/>
        </w:tabs>
        <w:spacing w:before="240" w:after="240"/>
        <w:rPr>
          <w:rFonts w:cs="Arial"/>
          <w:i/>
          <w:szCs w:val="24"/>
        </w:rPr>
      </w:pPr>
      <w:r w:rsidRPr="007E56BC">
        <w:rPr>
          <w:rFonts w:cs="Arial"/>
          <w:szCs w:val="24"/>
          <w:u w:val="single"/>
        </w:rPr>
        <w:t>Matériovigilance</w:t>
      </w:r>
      <w:r w:rsidRPr="007E56BC">
        <w:rPr>
          <w:rFonts w:cs="Arial"/>
          <w:szCs w:val="24"/>
        </w:rPr>
        <w:t> : en cas d</w:t>
      </w:r>
      <w:r>
        <w:rPr>
          <w:rFonts w:cs="Arial"/>
          <w:szCs w:val="24"/>
        </w:rPr>
        <w:t>’évènement indésirable associé à un dispositif médical</w:t>
      </w:r>
      <w:r w:rsidRPr="007E56BC">
        <w:rPr>
          <w:rFonts w:cs="Arial"/>
          <w:szCs w:val="24"/>
        </w:rPr>
        <w:t xml:space="preserve">, le pharmacien de la PUI </w:t>
      </w:r>
      <w:r>
        <w:rPr>
          <w:rFonts w:cs="Arial"/>
          <w:szCs w:val="24"/>
        </w:rPr>
        <w:t xml:space="preserve">du </w:t>
      </w:r>
      <w:r w:rsidRPr="00E67366">
        <w:rPr>
          <w:rFonts w:cs="Arial"/>
          <w:i/>
          <w:szCs w:val="24"/>
        </w:rPr>
        <w:t>donneur d’ordre</w:t>
      </w:r>
      <w:r>
        <w:rPr>
          <w:rFonts w:cs="Arial"/>
          <w:szCs w:val="24"/>
        </w:rPr>
        <w:t xml:space="preserve"> notifie l’évènement à l’</w:t>
      </w:r>
      <w:r w:rsidRPr="007D5A8A">
        <w:rPr>
          <w:rFonts w:cs="Arial"/>
          <w:szCs w:val="24"/>
        </w:rPr>
        <w:t>A</w:t>
      </w:r>
      <w:r>
        <w:rPr>
          <w:rFonts w:cs="Arial"/>
          <w:szCs w:val="24"/>
        </w:rPr>
        <w:t xml:space="preserve">gence </w:t>
      </w:r>
      <w:r w:rsidRPr="007D5A8A">
        <w:rPr>
          <w:rFonts w:cs="Arial"/>
          <w:szCs w:val="24"/>
        </w:rPr>
        <w:t>N</w:t>
      </w:r>
      <w:r>
        <w:rPr>
          <w:rFonts w:cs="Arial"/>
          <w:szCs w:val="24"/>
        </w:rPr>
        <w:t xml:space="preserve">ationale de </w:t>
      </w:r>
      <w:r w:rsidRPr="007D5A8A">
        <w:rPr>
          <w:rFonts w:cs="Arial"/>
          <w:szCs w:val="24"/>
        </w:rPr>
        <w:t>S</w:t>
      </w:r>
      <w:r>
        <w:rPr>
          <w:rFonts w:cs="Arial"/>
          <w:szCs w:val="24"/>
        </w:rPr>
        <w:t xml:space="preserve">écurité du </w:t>
      </w:r>
      <w:r w:rsidRPr="007D5A8A">
        <w:rPr>
          <w:rFonts w:cs="Arial"/>
          <w:szCs w:val="24"/>
        </w:rPr>
        <w:t>M</w:t>
      </w:r>
      <w:r>
        <w:rPr>
          <w:rFonts w:cs="Arial"/>
          <w:szCs w:val="24"/>
        </w:rPr>
        <w:t>édicament et des produits de santé et</w:t>
      </w:r>
      <w:r w:rsidRPr="007E56BC">
        <w:rPr>
          <w:rFonts w:cs="Arial"/>
          <w:szCs w:val="24"/>
        </w:rPr>
        <w:t xml:space="preserve"> </w:t>
      </w:r>
      <w:r>
        <w:rPr>
          <w:rFonts w:cs="Arial"/>
          <w:szCs w:val="24"/>
        </w:rPr>
        <w:t>en avertit</w:t>
      </w:r>
      <w:r w:rsidRPr="007E56BC">
        <w:rPr>
          <w:rFonts w:cs="Arial"/>
          <w:szCs w:val="24"/>
        </w:rPr>
        <w:t xml:space="preserve"> le pharmacien responsable de l’UPC du </w:t>
      </w:r>
      <w:r w:rsidRPr="00D40945">
        <w:rPr>
          <w:rFonts w:cs="Arial"/>
          <w:i/>
          <w:szCs w:val="24"/>
        </w:rPr>
        <w:t>prestataire</w:t>
      </w:r>
      <w:r>
        <w:rPr>
          <w:rFonts w:cs="Arial"/>
          <w:i/>
          <w:szCs w:val="24"/>
        </w:rPr>
        <w:t>.</w:t>
      </w: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ASSURANCE QUALITE ET DOCUMENTS</w:t>
      </w:r>
    </w:p>
    <w:p w:rsidR="00B169FE" w:rsidRDefault="00B169FE" w:rsidP="00B169FE">
      <w:pPr>
        <w:tabs>
          <w:tab w:val="left" w:pos="284"/>
          <w:tab w:val="left" w:pos="851"/>
        </w:tabs>
        <w:spacing w:before="240" w:after="0"/>
        <w:rPr>
          <w:rFonts w:cs="Arial"/>
          <w:szCs w:val="24"/>
        </w:rPr>
      </w:pPr>
      <w:r>
        <w:rPr>
          <w:rFonts w:cs="Arial"/>
          <w:szCs w:val="24"/>
        </w:rPr>
        <w:t xml:space="preserve">Le prestataire s’engage à mettre à disposition du donneur d’ordre </w:t>
      </w:r>
      <w:proofErr w:type="gramStart"/>
      <w:r>
        <w:rPr>
          <w:rFonts w:cs="Arial"/>
          <w:szCs w:val="24"/>
        </w:rPr>
        <w:t>son manuel</w:t>
      </w:r>
      <w:proofErr w:type="gramEnd"/>
      <w:r>
        <w:rPr>
          <w:rFonts w:cs="Arial"/>
          <w:szCs w:val="24"/>
        </w:rPr>
        <w:t xml:space="preserve"> qualité sur le processus de préparation des médicaments anticancéreux stériles. Ce manuel comporte les procédures encadrant l’ensemble des activités associées au processus de préparation. </w:t>
      </w:r>
    </w:p>
    <w:p w:rsidR="00B169FE" w:rsidRDefault="00B169FE" w:rsidP="00B169FE">
      <w:pPr>
        <w:tabs>
          <w:tab w:val="left" w:pos="284"/>
          <w:tab w:val="left" w:pos="851"/>
        </w:tabs>
        <w:spacing w:after="240"/>
        <w:rPr>
          <w:rFonts w:cs="Arial"/>
          <w:szCs w:val="24"/>
        </w:rPr>
      </w:pPr>
      <w:r>
        <w:rPr>
          <w:rFonts w:cs="Arial"/>
          <w:szCs w:val="24"/>
        </w:rPr>
        <w:t xml:space="preserve">Le système qualité doit être opérationnel et répondre aux exigences règlementaires. </w:t>
      </w: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FACTURATION</w:t>
      </w:r>
    </w:p>
    <w:p w:rsidR="00B169FE" w:rsidRDefault="00B169FE" w:rsidP="00B169FE">
      <w:pPr>
        <w:pStyle w:val="Paragraphedeliste"/>
        <w:tabs>
          <w:tab w:val="left" w:pos="284"/>
          <w:tab w:val="left" w:pos="851"/>
        </w:tabs>
        <w:spacing w:after="0" w:line="276" w:lineRule="auto"/>
        <w:jc w:val="both"/>
        <w:rPr>
          <w:rFonts w:cs="Arial"/>
          <w:szCs w:val="24"/>
        </w:rPr>
      </w:pPr>
    </w:p>
    <w:p w:rsidR="00B169FE" w:rsidRPr="007E56BC" w:rsidRDefault="00B169FE" w:rsidP="00B169FE">
      <w:pPr>
        <w:pStyle w:val="Paragraphedeliste"/>
        <w:numPr>
          <w:ilvl w:val="0"/>
          <w:numId w:val="15"/>
        </w:numPr>
        <w:tabs>
          <w:tab w:val="left" w:pos="284"/>
          <w:tab w:val="left" w:pos="851"/>
        </w:tabs>
        <w:spacing w:after="0" w:line="276" w:lineRule="auto"/>
        <w:jc w:val="both"/>
        <w:rPr>
          <w:rFonts w:cs="Arial"/>
          <w:szCs w:val="24"/>
        </w:rPr>
      </w:pPr>
      <w:r w:rsidRPr="007E56BC">
        <w:rPr>
          <w:rFonts w:cs="Arial"/>
          <w:szCs w:val="24"/>
        </w:rPr>
        <w:t>La facturation comprend :</w:t>
      </w:r>
    </w:p>
    <w:p w:rsidR="00B169FE" w:rsidRPr="007E56BC" w:rsidRDefault="00B169FE" w:rsidP="00B169FE">
      <w:pPr>
        <w:tabs>
          <w:tab w:val="left" w:pos="284"/>
          <w:tab w:val="left" w:pos="851"/>
        </w:tabs>
        <w:spacing w:after="0"/>
        <w:rPr>
          <w:rFonts w:cs="Arial"/>
          <w:szCs w:val="24"/>
        </w:rPr>
      </w:pPr>
    </w:p>
    <w:p w:rsidR="00B169FE" w:rsidRPr="007E56BC" w:rsidRDefault="00B169FE" w:rsidP="00B169FE">
      <w:pPr>
        <w:pStyle w:val="Paragraphedeliste"/>
        <w:numPr>
          <w:ilvl w:val="0"/>
          <w:numId w:val="16"/>
        </w:numPr>
        <w:tabs>
          <w:tab w:val="left" w:pos="284"/>
          <w:tab w:val="left" w:pos="851"/>
        </w:tabs>
        <w:spacing w:after="0" w:line="276" w:lineRule="auto"/>
        <w:jc w:val="both"/>
        <w:rPr>
          <w:rFonts w:cs="Arial"/>
          <w:szCs w:val="24"/>
        </w:rPr>
      </w:pPr>
      <w:r w:rsidRPr="007E56BC">
        <w:rPr>
          <w:rFonts w:cs="Arial"/>
          <w:szCs w:val="24"/>
        </w:rPr>
        <w:t xml:space="preserve">Le coût des médicaments et des éléments nécessaires à la reconstitution. La facturation tient compte de </w:t>
      </w:r>
      <w:r w:rsidRPr="00222FD7">
        <w:rPr>
          <w:rFonts w:cs="Arial"/>
          <w:szCs w:val="24"/>
          <w:highlight w:val="lightGray"/>
        </w:rPr>
        <w:t>la quantité de principe actif utilisé et des prix de revient des médicaments.</w:t>
      </w:r>
      <w:r>
        <w:rPr>
          <w:rFonts w:cs="Arial"/>
          <w:szCs w:val="24"/>
        </w:rPr>
        <w:t xml:space="preserve"> </w:t>
      </w:r>
      <w:r w:rsidRPr="00222FD7">
        <w:rPr>
          <w:rFonts w:cs="Arial"/>
          <w:szCs w:val="24"/>
          <w:highlight w:val="lightGray"/>
        </w:rPr>
        <w:t xml:space="preserve">Définir les modalités de facturation en cas de modification du prix d’un médicament par le titulaire de l’AMM au cours </w:t>
      </w:r>
      <w:r>
        <w:rPr>
          <w:rFonts w:cs="Arial"/>
          <w:szCs w:val="24"/>
          <w:highlight w:val="lightGray"/>
        </w:rPr>
        <w:t>du</w:t>
      </w:r>
      <w:r w:rsidRPr="00222FD7">
        <w:rPr>
          <w:rFonts w:cs="Arial"/>
          <w:szCs w:val="24"/>
          <w:highlight w:val="lightGray"/>
        </w:rPr>
        <w:t xml:space="preserve"> </w:t>
      </w:r>
      <w:r>
        <w:rPr>
          <w:rFonts w:cs="Arial"/>
          <w:szCs w:val="24"/>
          <w:highlight w:val="lightGray"/>
        </w:rPr>
        <w:t>contrat</w:t>
      </w:r>
      <w:r w:rsidRPr="00222FD7">
        <w:rPr>
          <w:rFonts w:cs="Arial"/>
          <w:szCs w:val="24"/>
          <w:highlight w:val="lightGray"/>
        </w:rPr>
        <w:t>.</w:t>
      </w:r>
      <w:r>
        <w:rPr>
          <w:rFonts w:cs="Arial"/>
          <w:szCs w:val="24"/>
        </w:rPr>
        <w:t xml:space="preserve"> </w:t>
      </w:r>
      <w:r w:rsidRPr="00222FD7">
        <w:rPr>
          <w:rFonts w:cs="Arial"/>
          <w:szCs w:val="24"/>
          <w:highlight w:val="lightGray"/>
        </w:rPr>
        <w:t>Définir également les modalités de facturation des reliquats de médicaments onéreux.</w:t>
      </w:r>
    </w:p>
    <w:p w:rsidR="00B169FE" w:rsidRPr="007E56BC" w:rsidRDefault="00B169FE" w:rsidP="00B169FE">
      <w:pPr>
        <w:pStyle w:val="Paragraphedeliste"/>
        <w:numPr>
          <w:ilvl w:val="0"/>
          <w:numId w:val="16"/>
        </w:numPr>
        <w:tabs>
          <w:tab w:val="left" w:pos="284"/>
          <w:tab w:val="left" w:pos="851"/>
        </w:tabs>
        <w:spacing w:after="0" w:line="276" w:lineRule="auto"/>
        <w:jc w:val="both"/>
        <w:rPr>
          <w:rFonts w:cs="Arial"/>
          <w:szCs w:val="24"/>
        </w:rPr>
      </w:pPr>
      <w:r>
        <w:rPr>
          <w:rFonts w:cs="Arial"/>
          <w:szCs w:val="24"/>
        </w:rPr>
        <w:t xml:space="preserve">Un forfait technique de </w:t>
      </w:r>
      <w:r w:rsidRPr="00222FD7">
        <w:rPr>
          <w:rFonts w:cs="Arial"/>
          <w:szCs w:val="24"/>
          <w:highlight w:val="lightGray"/>
        </w:rPr>
        <w:t>x euros</w:t>
      </w:r>
      <w:r w:rsidRPr="007E56BC">
        <w:rPr>
          <w:rFonts w:cs="Arial"/>
          <w:szCs w:val="24"/>
        </w:rPr>
        <w:t xml:space="preserve"> par préparation, révisable annuellement sur la base du taux d’augmentation des traitements des personnels. Ce montant inclut l’ensemble des coûts directs associés à la préparation.</w:t>
      </w:r>
      <w:r>
        <w:rPr>
          <w:rFonts w:cs="Arial"/>
          <w:szCs w:val="24"/>
        </w:rPr>
        <w:t xml:space="preserve"> </w:t>
      </w:r>
      <w:r w:rsidRPr="00222FD7">
        <w:rPr>
          <w:rFonts w:cs="Arial"/>
          <w:szCs w:val="24"/>
          <w:highlight w:val="lightGray"/>
        </w:rPr>
        <w:t>Il peut inclure les frais de transport si cette activité relève de la responsabilité du prestataire.</w:t>
      </w:r>
    </w:p>
    <w:p w:rsidR="00B169FE" w:rsidRPr="007E56BC" w:rsidRDefault="00B169FE" w:rsidP="00B169FE">
      <w:pPr>
        <w:pStyle w:val="Paragraphedeliste"/>
        <w:numPr>
          <w:ilvl w:val="0"/>
          <w:numId w:val="15"/>
        </w:numPr>
        <w:tabs>
          <w:tab w:val="left" w:pos="284"/>
          <w:tab w:val="left" w:pos="851"/>
        </w:tabs>
        <w:spacing w:after="0" w:line="276" w:lineRule="auto"/>
        <w:jc w:val="both"/>
        <w:rPr>
          <w:rFonts w:cs="Arial"/>
          <w:szCs w:val="24"/>
        </w:rPr>
      </w:pPr>
      <w:r>
        <w:rPr>
          <w:rFonts w:cs="Arial"/>
          <w:szCs w:val="24"/>
        </w:rPr>
        <w:lastRenderedPageBreak/>
        <w:t>U</w:t>
      </w:r>
      <w:r w:rsidRPr="007E56BC">
        <w:rPr>
          <w:rFonts w:cs="Arial"/>
          <w:szCs w:val="24"/>
        </w:rPr>
        <w:t>n titre de recette est émis</w:t>
      </w:r>
      <w:r>
        <w:rPr>
          <w:rFonts w:cs="Arial"/>
          <w:szCs w:val="24"/>
        </w:rPr>
        <w:t xml:space="preserve"> </w:t>
      </w:r>
      <w:r w:rsidRPr="00222FD7">
        <w:rPr>
          <w:rFonts w:cs="Arial"/>
          <w:szCs w:val="24"/>
          <w:highlight w:val="lightGray"/>
        </w:rPr>
        <w:t>au minimum mensuellement</w:t>
      </w:r>
      <w:r w:rsidRPr="007E56BC">
        <w:rPr>
          <w:rFonts w:cs="Arial"/>
          <w:szCs w:val="24"/>
        </w:rPr>
        <w:t xml:space="preserve"> par la direction des finances du prestataire</w:t>
      </w:r>
      <w:r>
        <w:rPr>
          <w:rFonts w:cs="Arial"/>
          <w:szCs w:val="24"/>
        </w:rPr>
        <w:t xml:space="preserve"> à son homologue chez le DO</w:t>
      </w:r>
      <w:r w:rsidRPr="007E56BC">
        <w:rPr>
          <w:rFonts w:cs="Arial"/>
          <w:szCs w:val="24"/>
        </w:rPr>
        <w:t xml:space="preserve">, selon un état récapitulatif par patient des préparations et des produits commandés durant le mois. </w:t>
      </w:r>
      <w:r>
        <w:rPr>
          <w:rFonts w:cs="Arial"/>
          <w:szCs w:val="24"/>
        </w:rPr>
        <w:t>Il ne doit pas mentionner le nom du patient. Le titre de recette</w:t>
      </w:r>
      <w:r w:rsidRPr="007E56BC">
        <w:rPr>
          <w:rFonts w:cs="Arial"/>
          <w:szCs w:val="24"/>
        </w:rPr>
        <w:t xml:space="preserve"> </w:t>
      </w:r>
      <w:r>
        <w:rPr>
          <w:rFonts w:cs="Arial"/>
          <w:szCs w:val="24"/>
        </w:rPr>
        <w:t xml:space="preserve">peut être </w:t>
      </w:r>
      <w:r w:rsidRPr="007E56BC">
        <w:rPr>
          <w:rFonts w:cs="Arial"/>
          <w:szCs w:val="24"/>
        </w:rPr>
        <w:t xml:space="preserve"> transmis à la PUI du </w:t>
      </w:r>
      <w:r w:rsidRPr="007E56BC">
        <w:rPr>
          <w:rFonts w:cs="Arial"/>
          <w:i/>
          <w:szCs w:val="24"/>
        </w:rPr>
        <w:t>donneur d’ordre</w:t>
      </w:r>
      <w:r w:rsidRPr="007E56BC">
        <w:rPr>
          <w:rFonts w:cs="Arial"/>
          <w:szCs w:val="24"/>
        </w:rPr>
        <w:t xml:space="preserve">. Elle est adressée </w:t>
      </w:r>
      <w:r w:rsidRPr="00222FD7">
        <w:rPr>
          <w:rFonts w:cs="Arial"/>
          <w:szCs w:val="24"/>
          <w:highlight w:val="lightGray"/>
        </w:rPr>
        <w:t>au plus tard à la fin de la première quinzaine du mois suivant (dans le cas d’une émission mensuelle du titre de recette),</w:t>
      </w:r>
      <w:r w:rsidRPr="007E56BC">
        <w:rPr>
          <w:rFonts w:cs="Arial"/>
          <w:szCs w:val="24"/>
        </w:rPr>
        <w:t xml:space="preserve"> pour permettre la refacturation des médicaments hors GHS de 30 jours à compter de la réception de la facture</w:t>
      </w:r>
      <w:r>
        <w:rPr>
          <w:rFonts w:cs="Arial"/>
          <w:szCs w:val="24"/>
        </w:rPr>
        <w:t>.</w:t>
      </w:r>
    </w:p>
    <w:p w:rsidR="00B169FE" w:rsidRPr="00222FD7" w:rsidRDefault="00B169FE" w:rsidP="00B169FE">
      <w:pPr>
        <w:pStyle w:val="Paragraphedeliste"/>
        <w:numPr>
          <w:ilvl w:val="0"/>
          <w:numId w:val="15"/>
        </w:numPr>
        <w:tabs>
          <w:tab w:val="left" w:pos="284"/>
          <w:tab w:val="left" w:pos="851"/>
        </w:tabs>
        <w:spacing w:after="0" w:line="276" w:lineRule="auto"/>
        <w:jc w:val="both"/>
        <w:rPr>
          <w:rFonts w:cs="Arial"/>
          <w:szCs w:val="24"/>
          <w:highlight w:val="lightGray"/>
        </w:rPr>
      </w:pPr>
      <w:r w:rsidRPr="00222FD7">
        <w:rPr>
          <w:rFonts w:cs="Arial"/>
          <w:szCs w:val="24"/>
          <w:highlight w:val="lightGray"/>
        </w:rPr>
        <w:t>Préciser si oui ou non toute préparation réalisée est facturée, qu’elle soit administrée ou non.</w:t>
      </w:r>
    </w:p>
    <w:p w:rsidR="00B169FE" w:rsidRPr="00222FD7" w:rsidRDefault="00B169FE" w:rsidP="00B169FE">
      <w:pPr>
        <w:pStyle w:val="Paragraphedeliste"/>
        <w:numPr>
          <w:ilvl w:val="0"/>
          <w:numId w:val="15"/>
        </w:numPr>
        <w:tabs>
          <w:tab w:val="left" w:pos="284"/>
          <w:tab w:val="left" w:pos="851"/>
        </w:tabs>
        <w:spacing w:after="0" w:line="276" w:lineRule="auto"/>
        <w:jc w:val="both"/>
        <w:rPr>
          <w:rFonts w:cs="Arial"/>
          <w:szCs w:val="24"/>
          <w:highlight w:val="lightGray"/>
        </w:rPr>
      </w:pPr>
      <w:r w:rsidRPr="00222FD7">
        <w:rPr>
          <w:rFonts w:cs="Arial"/>
          <w:szCs w:val="24"/>
          <w:highlight w:val="lightGray"/>
        </w:rPr>
        <w:t>Définir les modalités de facturation d’une préparation non-conforme et d’une préparation conforme non-administrée.</w:t>
      </w:r>
    </w:p>
    <w:p w:rsidR="00B169FE" w:rsidRPr="00222FD7" w:rsidRDefault="00B169FE" w:rsidP="00B169FE">
      <w:pPr>
        <w:pStyle w:val="Paragraphedeliste"/>
        <w:numPr>
          <w:ilvl w:val="0"/>
          <w:numId w:val="15"/>
        </w:numPr>
        <w:tabs>
          <w:tab w:val="left" w:pos="284"/>
          <w:tab w:val="left" w:pos="851"/>
        </w:tabs>
        <w:spacing w:after="0" w:line="276" w:lineRule="auto"/>
        <w:jc w:val="both"/>
        <w:rPr>
          <w:rFonts w:cs="Arial"/>
          <w:szCs w:val="24"/>
          <w:highlight w:val="lightGray"/>
        </w:rPr>
      </w:pPr>
      <w:r w:rsidRPr="00222FD7">
        <w:rPr>
          <w:rFonts w:cs="Arial"/>
          <w:szCs w:val="24"/>
          <w:highlight w:val="lightGray"/>
        </w:rPr>
        <w:t>Définir les modalités de facturation des médicaments anticancéreux spécifiques du DO périmés.</w:t>
      </w:r>
    </w:p>
    <w:p w:rsidR="00B169FE" w:rsidRPr="00222FD7" w:rsidRDefault="00B169FE" w:rsidP="00B169FE">
      <w:pPr>
        <w:pStyle w:val="Paragraphedeliste"/>
        <w:numPr>
          <w:ilvl w:val="0"/>
          <w:numId w:val="15"/>
        </w:numPr>
        <w:tabs>
          <w:tab w:val="left" w:pos="284"/>
          <w:tab w:val="left" w:pos="851"/>
        </w:tabs>
        <w:spacing w:after="0" w:line="276" w:lineRule="auto"/>
        <w:jc w:val="both"/>
        <w:rPr>
          <w:rFonts w:cs="Arial"/>
          <w:szCs w:val="24"/>
          <w:highlight w:val="lightGray"/>
        </w:rPr>
      </w:pPr>
      <w:r w:rsidRPr="00222FD7">
        <w:rPr>
          <w:rFonts w:cs="Arial"/>
          <w:highlight w:val="lightGray"/>
        </w:rPr>
        <w:t>Définir les modalités d’indemnisation en cas de retard de de livraison au-delà des horaires de livraison précisés en annexe ou en cas de non-respect des conditions de conservation. Le retard doit être dûment justifié par émargement du bon de livraison. Ces modalités peuvent être différentes selon que le retard ou le non-respect des conditions de conservation est imputable au service du transport ou non (circulation perturbée, accident, etc.).</w:t>
      </w:r>
    </w:p>
    <w:p w:rsidR="00B169FE" w:rsidRPr="004754B3" w:rsidRDefault="00B169FE" w:rsidP="00B169FE">
      <w:pPr>
        <w:pStyle w:val="Paragraphedeliste"/>
        <w:numPr>
          <w:ilvl w:val="0"/>
          <w:numId w:val="15"/>
        </w:numPr>
        <w:tabs>
          <w:tab w:val="left" w:pos="284"/>
          <w:tab w:val="left" w:pos="851"/>
        </w:tabs>
        <w:spacing w:after="0" w:line="276" w:lineRule="auto"/>
        <w:jc w:val="both"/>
        <w:rPr>
          <w:rFonts w:cs="Arial"/>
          <w:szCs w:val="24"/>
        </w:rPr>
      </w:pPr>
      <w:r w:rsidRPr="004754B3">
        <w:rPr>
          <w:rFonts w:cs="Arial"/>
          <w:b/>
          <w:szCs w:val="24"/>
        </w:rPr>
        <w:t xml:space="preserve">En cas d’urgence, le forfait technique s’élèvera à </w:t>
      </w:r>
      <w:r w:rsidRPr="00222FD7">
        <w:rPr>
          <w:rFonts w:cs="Arial"/>
          <w:b/>
          <w:szCs w:val="24"/>
          <w:highlight w:val="lightGray"/>
        </w:rPr>
        <w:t>x euros.</w:t>
      </w:r>
    </w:p>
    <w:p w:rsidR="00B169FE" w:rsidRPr="00787FB3" w:rsidRDefault="00B169FE" w:rsidP="00B169FE">
      <w:pPr>
        <w:tabs>
          <w:tab w:val="left" w:pos="284"/>
          <w:tab w:val="left" w:pos="851"/>
        </w:tabs>
        <w:spacing w:after="0"/>
        <w:rPr>
          <w:rFonts w:cs="Arial"/>
          <w:sz w:val="24"/>
          <w:szCs w:val="24"/>
        </w:rPr>
      </w:pP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 xml:space="preserve"> RESPONSABILITE</w:t>
      </w:r>
    </w:p>
    <w:p w:rsidR="00B169FE" w:rsidRDefault="00B169FE" w:rsidP="00B169FE">
      <w:pPr>
        <w:tabs>
          <w:tab w:val="left" w:pos="284"/>
        </w:tabs>
        <w:spacing w:before="240" w:after="240"/>
        <w:rPr>
          <w:rFonts w:cs="Arial"/>
          <w:szCs w:val="24"/>
        </w:rPr>
      </w:pPr>
      <w:r w:rsidRPr="007E56BC">
        <w:rPr>
          <w:rFonts w:cs="Arial"/>
          <w:szCs w:val="24"/>
        </w:rPr>
        <w:t>Chaque établissement est responsable de la partie qui lui échoit dans le cadre de cette préparation.</w:t>
      </w: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 xml:space="preserve"> AUDIT</w:t>
      </w:r>
    </w:p>
    <w:p w:rsidR="00B169FE" w:rsidRDefault="00B169FE" w:rsidP="00B169FE">
      <w:pPr>
        <w:tabs>
          <w:tab w:val="left" w:pos="284"/>
        </w:tabs>
        <w:spacing w:before="240" w:after="240"/>
        <w:rPr>
          <w:rFonts w:cs="Arial"/>
          <w:szCs w:val="24"/>
        </w:rPr>
      </w:pPr>
      <w:r w:rsidRPr="007E56BC">
        <w:rPr>
          <w:rFonts w:cs="Arial"/>
          <w:szCs w:val="24"/>
        </w:rPr>
        <w:t>Le donneur d’ordre est autorisé à réaliser un audit de pratique dans la PUI du prestataire</w:t>
      </w:r>
      <w:r>
        <w:rPr>
          <w:rFonts w:cs="Arial"/>
          <w:szCs w:val="24"/>
        </w:rPr>
        <w:t xml:space="preserve"> et réciproquement</w:t>
      </w:r>
      <w:r w:rsidRPr="007E56BC">
        <w:rPr>
          <w:rFonts w:cs="Arial"/>
          <w:szCs w:val="24"/>
        </w:rPr>
        <w:t>. Les conditions de cet audit seront validées par les deux PUI.</w:t>
      </w:r>
      <w:r>
        <w:rPr>
          <w:rFonts w:cs="Arial"/>
          <w:szCs w:val="24"/>
        </w:rPr>
        <w:t xml:space="preserve"> La partie responsable du transport est également autorisée à effectuer un audit de la société extérieure de transport. </w:t>
      </w:r>
    </w:p>
    <w:p w:rsidR="00B169FE" w:rsidRPr="00222FD7" w:rsidRDefault="00B169FE" w:rsidP="00B169FE">
      <w:pPr>
        <w:pStyle w:val="Paragraphedeliste"/>
        <w:numPr>
          <w:ilvl w:val="0"/>
          <w:numId w:val="3"/>
        </w:numPr>
        <w:tabs>
          <w:tab w:val="left" w:pos="284"/>
        </w:tabs>
        <w:spacing w:after="200" w:line="276" w:lineRule="auto"/>
        <w:ind w:left="0" w:firstLine="0"/>
        <w:jc w:val="both"/>
        <w:rPr>
          <w:rFonts w:eastAsia="Times New Roman"/>
          <w:b/>
          <w:bCs/>
          <w:color w:val="1E549E"/>
          <w:sz w:val="26"/>
          <w:szCs w:val="26"/>
        </w:rPr>
      </w:pPr>
      <w:r w:rsidRPr="00222FD7">
        <w:rPr>
          <w:rFonts w:eastAsia="Times New Roman"/>
          <w:b/>
          <w:bCs/>
          <w:color w:val="1E549E"/>
          <w:sz w:val="26"/>
          <w:szCs w:val="26"/>
        </w:rPr>
        <w:t xml:space="preserve"> DUREE </w:t>
      </w:r>
      <w:r>
        <w:rPr>
          <w:rFonts w:eastAsia="Times New Roman"/>
          <w:b/>
          <w:bCs/>
          <w:color w:val="1E549E"/>
          <w:sz w:val="26"/>
          <w:szCs w:val="26"/>
        </w:rPr>
        <w:t>DU</w:t>
      </w:r>
      <w:r w:rsidRPr="00222FD7">
        <w:rPr>
          <w:rFonts w:eastAsia="Times New Roman"/>
          <w:b/>
          <w:bCs/>
          <w:color w:val="1E549E"/>
          <w:sz w:val="26"/>
          <w:szCs w:val="26"/>
        </w:rPr>
        <w:t xml:space="preserve"> </w:t>
      </w:r>
      <w:r>
        <w:rPr>
          <w:rFonts w:eastAsia="Times New Roman"/>
          <w:b/>
          <w:bCs/>
          <w:color w:val="1E549E"/>
          <w:sz w:val="26"/>
          <w:szCs w:val="26"/>
        </w:rPr>
        <w:t>CONTRAT</w:t>
      </w:r>
    </w:p>
    <w:p w:rsidR="00B169FE" w:rsidRPr="007E56BC" w:rsidRDefault="00B169FE" w:rsidP="00B169FE">
      <w:pPr>
        <w:tabs>
          <w:tab w:val="left" w:pos="284"/>
        </w:tabs>
        <w:spacing w:before="240" w:after="0"/>
        <w:rPr>
          <w:rFonts w:cs="Arial"/>
          <w:szCs w:val="24"/>
        </w:rPr>
      </w:pPr>
      <w:r>
        <w:rPr>
          <w:rFonts w:cs="Arial"/>
          <w:szCs w:val="24"/>
        </w:rPr>
        <w:t>Le présent</w:t>
      </w:r>
      <w:r w:rsidRPr="007E56BC">
        <w:rPr>
          <w:rFonts w:cs="Arial"/>
          <w:szCs w:val="24"/>
        </w:rPr>
        <w:t xml:space="preserve"> </w:t>
      </w:r>
      <w:r>
        <w:rPr>
          <w:rFonts w:cs="Arial"/>
          <w:szCs w:val="24"/>
        </w:rPr>
        <w:t>contrat</w:t>
      </w:r>
      <w:r w:rsidRPr="007E56BC">
        <w:rPr>
          <w:rFonts w:cs="Arial"/>
          <w:szCs w:val="24"/>
        </w:rPr>
        <w:t xml:space="preserve"> prend effet à compter </w:t>
      </w:r>
      <w:proofErr w:type="gramStart"/>
      <w:r w:rsidRPr="007E56BC">
        <w:rPr>
          <w:rFonts w:cs="Arial"/>
          <w:szCs w:val="24"/>
        </w:rPr>
        <w:t>du</w:t>
      </w:r>
      <w:proofErr w:type="gramEnd"/>
      <w:r w:rsidRPr="007E56BC">
        <w:rPr>
          <w:rFonts w:cs="Arial"/>
          <w:szCs w:val="24"/>
        </w:rPr>
        <w:t xml:space="preserve"> </w:t>
      </w:r>
      <w:r w:rsidRPr="00222FD7">
        <w:rPr>
          <w:rFonts w:cs="Arial"/>
          <w:szCs w:val="24"/>
          <w:highlight w:val="lightGray"/>
        </w:rPr>
        <w:t>(date)</w:t>
      </w:r>
      <w:r w:rsidRPr="007E56BC">
        <w:rPr>
          <w:rFonts w:cs="Arial"/>
          <w:szCs w:val="24"/>
        </w:rPr>
        <w:t xml:space="preserve"> au plus tôt, sous réserve de l’autorisation préalable délivrée par </w:t>
      </w:r>
      <w:r>
        <w:rPr>
          <w:rFonts w:cs="Arial"/>
          <w:szCs w:val="24"/>
        </w:rPr>
        <w:t>l’</w:t>
      </w:r>
      <w:r w:rsidRPr="007E56BC">
        <w:rPr>
          <w:rFonts w:cs="Arial"/>
          <w:szCs w:val="24"/>
        </w:rPr>
        <w:t xml:space="preserve">ARS IDF. Elle est applicable pour une durée </w:t>
      </w:r>
      <w:r>
        <w:rPr>
          <w:rFonts w:cs="Arial"/>
          <w:szCs w:val="24"/>
        </w:rPr>
        <w:t>maximale</w:t>
      </w:r>
      <w:r w:rsidRPr="007E56BC">
        <w:rPr>
          <w:rFonts w:cs="Arial"/>
          <w:szCs w:val="24"/>
        </w:rPr>
        <w:t xml:space="preserve"> de cinq ans.</w:t>
      </w:r>
    </w:p>
    <w:p w:rsidR="00B169FE" w:rsidRPr="007E56BC" w:rsidRDefault="00B169FE" w:rsidP="00B169FE">
      <w:pPr>
        <w:tabs>
          <w:tab w:val="left" w:pos="284"/>
        </w:tabs>
        <w:spacing w:before="240" w:after="0"/>
        <w:rPr>
          <w:rFonts w:cs="Arial"/>
          <w:szCs w:val="24"/>
        </w:rPr>
      </w:pPr>
      <w:r w:rsidRPr="007E56BC">
        <w:rPr>
          <w:rFonts w:cs="Arial"/>
          <w:szCs w:val="24"/>
        </w:rPr>
        <w:t>Elle peut être dénoncée par l’une ou l’autre des parties, par lettre recommandée avec accusé de réception, sous réserve de respecter un préavis de trois mois avant chaque date anniversaire. Un accord à l’amiable devra toutefois avoir été envisagé.</w:t>
      </w:r>
    </w:p>
    <w:p w:rsidR="00B169FE" w:rsidRPr="007E56BC" w:rsidRDefault="00B169FE" w:rsidP="00B169FE">
      <w:pPr>
        <w:tabs>
          <w:tab w:val="left" w:pos="284"/>
        </w:tabs>
        <w:spacing w:before="240" w:after="0"/>
        <w:rPr>
          <w:rFonts w:cs="Arial"/>
          <w:szCs w:val="24"/>
        </w:rPr>
      </w:pPr>
      <w:r w:rsidRPr="007E56BC">
        <w:rPr>
          <w:rFonts w:cs="Arial"/>
          <w:szCs w:val="24"/>
        </w:rPr>
        <w:t>Toute modification ou rapport sera évalué par les deux parties et si nécessaire, interviendra par voie d’avenant.</w:t>
      </w:r>
    </w:p>
    <w:p w:rsidR="00B169FE" w:rsidRPr="00AE0D4A" w:rsidRDefault="00B169FE" w:rsidP="00B169FE">
      <w:pPr>
        <w:tabs>
          <w:tab w:val="left" w:pos="284"/>
        </w:tabs>
        <w:spacing w:before="240" w:after="0"/>
        <w:rPr>
          <w:rFonts w:cs="Arial"/>
          <w:b/>
        </w:rPr>
      </w:pPr>
      <w:r w:rsidRPr="00AE0D4A">
        <w:rPr>
          <w:rFonts w:cs="Arial"/>
          <w:b/>
        </w:rPr>
        <w:t>PIECES TEC</w:t>
      </w:r>
      <w:r>
        <w:rPr>
          <w:rFonts w:cs="Arial"/>
          <w:b/>
        </w:rPr>
        <w:t>H</w:t>
      </w:r>
      <w:r w:rsidRPr="00AE0D4A">
        <w:rPr>
          <w:rFonts w:cs="Arial"/>
          <w:b/>
        </w:rPr>
        <w:t>NIQUES ANNEXE</w:t>
      </w:r>
      <w:r>
        <w:rPr>
          <w:rFonts w:cs="Arial"/>
          <w:b/>
        </w:rPr>
        <w:t>E</w:t>
      </w:r>
      <w:r w:rsidRPr="00AE0D4A">
        <w:rPr>
          <w:rFonts w:cs="Arial"/>
          <w:b/>
        </w:rPr>
        <w:t>S</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1 : Organigramme des responsabilités administratives, médicales et paramédicales (unité de soins et PUI) pour le prestataire (nom de l’établissement) et le donneur d’ordre (nom de l’établissement)</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lastRenderedPageBreak/>
        <w:t>Annexe 2 : Description du circuit de la prescription à l’administration des préparations de médicaments anticancéreux stériles</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3 : Liste des types de préparations réalisées, des DCI reconstituées et des dispositifs médicaux utilisés</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4 : Thesaurus des protocoles de l’établissement donneur d’ordre</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 xml:space="preserve">Annexe 5 : </w:t>
      </w:r>
      <w:r>
        <w:rPr>
          <w:rFonts w:cs="Arial"/>
          <w:highlight w:val="lightGray"/>
        </w:rPr>
        <w:t>Contrat</w:t>
      </w:r>
      <w:r w:rsidRPr="00222FD7">
        <w:rPr>
          <w:rFonts w:cs="Arial"/>
          <w:highlight w:val="lightGray"/>
        </w:rPr>
        <w:t xml:space="preserve"> de sous-traitance du transport par une société extérieure</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6 : Procédure en cas de demande urgente</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7 : Solutions dégradées en cas de dysfonctionnement du système d’information</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8 : Document de liaison (fiche d’acheminement)</w:t>
      </w:r>
    </w:p>
    <w:p w:rsidR="00B169FE" w:rsidRPr="00222FD7" w:rsidRDefault="00B169FE" w:rsidP="00B169FE">
      <w:pPr>
        <w:pStyle w:val="Paragraphedeliste"/>
        <w:numPr>
          <w:ilvl w:val="0"/>
          <w:numId w:val="17"/>
        </w:numPr>
        <w:tabs>
          <w:tab w:val="left" w:pos="284"/>
        </w:tabs>
        <w:spacing w:before="240" w:after="0" w:line="276" w:lineRule="auto"/>
        <w:ind w:hanging="436"/>
        <w:jc w:val="both"/>
        <w:rPr>
          <w:rFonts w:cs="Arial"/>
          <w:highlight w:val="lightGray"/>
        </w:rPr>
      </w:pPr>
      <w:r w:rsidRPr="00222FD7">
        <w:rPr>
          <w:rFonts w:cs="Arial"/>
          <w:highlight w:val="lightGray"/>
        </w:rPr>
        <w:t>Annexe 9 : Contact des personnes ressources</w:t>
      </w:r>
    </w:p>
    <w:p w:rsidR="00B169FE" w:rsidRDefault="00B169FE" w:rsidP="00B169FE">
      <w:pPr>
        <w:tabs>
          <w:tab w:val="left" w:pos="284"/>
        </w:tabs>
        <w:spacing w:before="240" w:after="120"/>
        <w:rPr>
          <w:rFonts w:cs="Arial"/>
          <w:sz w:val="24"/>
          <w:szCs w:val="24"/>
        </w:rPr>
      </w:pPr>
      <w:r w:rsidRPr="00787FB3">
        <w:rPr>
          <w:rFonts w:cs="Arial"/>
          <w:sz w:val="24"/>
          <w:szCs w:val="24"/>
        </w:rPr>
        <w:t>Fait à</w:t>
      </w:r>
      <w:r>
        <w:rPr>
          <w:rFonts w:cs="Arial"/>
          <w:sz w:val="24"/>
          <w:szCs w:val="24"/>
        </w:rPr>
        <w:t xml:space="preserve"> </w:t>
      </w:r>
      <w:proofErr w:type="gramStart"/>
      <w:r w:rsidRPr="00222FD7">
        <w:rPr>
          <w:rFonts w:cs="Arial"/>
          <w:sz w:val="24"/>
          <w:szCs w:val="24"/>
          <w:highlight w:val="lightGray"/>
        </w:rPr>
        <w:t>…………..</w:t>
      </w:r>
      <w:r w:rsidRPr="00787FB3">
        <w:rPr>
          <w:rFonts w:cs="Arial"/>
          <w:sz w:val="24"/>
          <w:szCs w:val="24"/>
        </w:rPr>
        <w:t>,</w:t>
      </w:r>
      <w:proofErr w:type="gramEnd"/>
      <w:r w:rsidRPr="00787FB3">
        <w:rPr>
          <w:rFonts w:cs="Arial"/>
          <w:sz w:val="24"/>
          <w:szCs w:val="24"/>
        </w:rPr>
        <w:t xml:space="preserve"> en </w:t>
      </w:r>
      <w:r w:rsidRPr="00222FD7">
        <w:rPr>
          <w:rFonts w:cs="Arial"/>
          <w:sz w:val="24"/>
          <w:szCs w:val="24"/>
          <w:highlight w:val="lightGray"/>
        </w:rPr>
        <w:t>x exemplaires</w:t>
      </w:r>
      <w:r w:rsidRPr="00787FB3">
        <w:rPr>
          <w:rFonts w:cs="Arial"/>
          <w:sz w:val="24"/>
          <w:szCs w:val="24"/>
        </w:rPr>
        <w:t xml:space="preserve">, le </w:t>
      </w:r>
      <w:r w:rsidRPr="00222FD7">
        <w:rPr>
          <w:rFonts w:cs="Arial"/>
          <w:sz w:val="24"/>
          <w:szCs w:val="24"/>
          <w:highlight w:val="lightGray"/>
        </w:rPr>
        <w:t>../../….</w:t>
      </w:r>
    </w:p>
    <w:p w:rsidR="00B169FE" w:rsidRDefault="00B169FE" w:rsidP="00B169FE">
      <w:pPr>
        <w:tabs>
          <w:tab w:val="left" w:pos="284"/>
        </w:tabs>
        <w:spacing w:before="240" w:after="120"/>
        <w:rPr>
          <w:rFonts w:cs="Arial"/>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395"/>
      </w:tblGrid>
      <w:tr w:rsidR="00B169FE" w:rsidRPr="00222FD7" w:rsidTr="00730169">
        <w:trPr>
          <w:trHeight w:val="589"/>
        </w:trPr>
        <w:tc>
          <w:tcPr>
            <w:tcW w:w="4077" w:type="dxa"/>
            <w:shd w:val="clear" w:color="auto" w:fill="auto"/>
            <w:vAlign w:val="center"/>
          </w:tcPr>
          <w:p w:rsidR="00B169FE" w:rsidRPr="00222FD7" w:rsidRDefault="00B169FE" w:rsidP="00730169">
            <w:pPr>
              <w:jc w:val="center"/>
              <w:rPr>
                <w:rFonts w:cs="Arial"/>
                <w:sz w:val="24"/>
              </w:rPr>
            </w:pPr>
            <w:r w:rsidRPr="00222FD7">
              <w:rPr>
                <w:rFonts w:cs="Arial"/>
                <w:sz w:val="24"/>
              </w:rPr>
              <w:t xml:space="preserve">Pour </w:t>
            </w:r>
            <w:r w:rsidRPr="00222FD7">
              <w:rPr>
                <w:rFonts w:cs="Arial"/>
                <w:sz w:val="24"/>
                <w:highlight w:val="lightGray"/>
              </w:rPr>
              <w:t xml:space="preserve">l’établissement </w:t>
            </w:r>
            <w:r w:rsidRPr="00222FD7">
              <w:rPr>
                <w:rFonts w:cs="Arial"/>
                <w:i/>
                <w:sz w:val="24"/>
                <w:highlight w:val="lightGray"/>
              </w:rPr>
              <w:t>prestataire</w:t>
            </w:r>
          </w:p>
        </w:tc>
        <w:tc>
          <w:tcPr>
            <w:tcW w:w="4395" w:type="dxa"/>
            <w:shd w:val="clear" w:color="auto" w:fill="auto"/>
            <w:vAlign w:val="center"/>
          </w:tcPr>
          <w:p w:rsidR="00B169FE" w:rsidRPr="00222FD7" w:rsidRDefault="00B169FE" w:rsidP="00730169">
            <w:pPr>
              <w:jc w:val="center"/>
              <w:rPr>
                <w:rFonts w:cs="Arial"/>
                <w:b/>
                <w:sz w:val="24"/>
                <w:szCs w:val="24"/>
              </w:rPr>
            </w:pPr>
            <w:r w:rsidRPr="00222FD7">
              <w:rPr>
                <w:rFonts w:cs="Arial"/>
                <w:sz w:val="24"/>
              </w:rPr>
              <w:t xml:space="preserve">Pour </w:t>
            </w:r>
            <w:r w:rsidRPr="00222FD7">
              <w:rPr>
                <w:rFonts w:cs="Arial"/>
                <w:sz w:val="24"/>
                <w:highlight w:val="lightGray"/>
              </w:rPr>
              <w:t xml:space="preserve">l’établissement </w:t>
            </w:r>
            <w:r w:rsidRPr="00222FD7">
              <w:rPr>
                <w:rFonts w:cs="Arial"/>
                <w:i/>
                <w:sz w:val="24"/>
                <w:highlight w:val="lightGray"/>
              </w:rPr>
              <w:t>donneur d’ordre</w:t>
            </w:r>
          </w:p>
        </w:tc>
      </w:tr>
      <w:tr w:rsidR="00B169FE" w:rsidRPr="00222FD7" w:rsidTr="00730169">
        <w:trPr>
          <w:trHeight w:val="3511"/>
        </w:trPr>
        <w:tc>
          <w:tcPr>
            <w:tcW w:w="4077" w:type="dxa"/>
            <w:shd w:val="clear" w:color="auto" w:fill="auto"/>
          </w:tcPr>
          <w:p w:rsidR="00B169FE" w:rsidRPr="00222FD7" w:rsidRDefault="00B169FE" w:rsidP="00730169">
            <w:pPr>
              <w:spacing w:before="120"/>
              <w:jc w:val="center"/>
              <w:rPr>
                <w:rFonts w:cs="Arial"/>
                <w:b/>
                <w:sz w:val="24"/>
                <w:szCs w:val="24"/>
              </w:rPr>
            </w:pPr>
            <w:r w:rsidRPr="00222FD7">
              <w:rPr>
                <w:rFonts w:cs="Arial"/>
              </w:rPr>
              <w:br w:type="page"/>
            </w:r>
            <w:r w:rsidRPr="00222FD7">
              <w:rPr>
                <w:rFonts w:cs="Arial"/>
                <w:b/>
                <w:sz w:val="24"/>
                <w:szCs w:val="24"/>
              </w:rPr>
              <w:t>Représentant légal de l’établissement</w:t>
            </w: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i/>
                <w:sz w:val="24"/>
                <w:szCs w:val="24"/>
              </w:rPr>
            </w:pPr>
            <w:r w:rsidRPr="00222FD7">
              <w:rPr>
                <w:rFonts w:cs="Arial"/>
                <w:i/>
                <w:sz w:val="24"/>
                <w:szCs w:val="24"/>
                <w:highlight w:val="lightGray"/>
              </w:rPr>
              <w:t>Signature</w:t>
            </w:r>
          </w:p>
          <w:p w:rsidR="00B169FE" w:rsidRPr="00222FD7" w:rsidRDefault="00B169FE" w:rsidP="00730169">
            <w:pPr>
              <w:spacing w:before="120"/>
              <w:jc w:val="center"/>
              <w:rPr>
                <w:rFonts w:cs="Arial"/>
              </w:rPr>
            </w:pPr>
          </w:p>
          <w:p w:rsidR="00B169FE" w:rsidRPr="00222FD7" w:rsidRDefault="00B169FE" w:rsidP="00730169">
            <w:pPr>
              <w:spacing w:before="120"/>
              <w:jc w:val="center"/>
              <w:rPr>
                <w:rFonts w:cs="Arial"/>
              </w:rPr>
            </w:pP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rPr>
            </w:pPr>
          </w:p>
        </w:tc>
        <w:tc>
          <w:tcPr>
            <w:tcW w:w="4395" w:type="dxa"/>
            <w:shd w:val="clear" w:color="auto" w:fill="auto"/>
          </w:tcPr>
          <w:p w:rsidR="00B169FE" w:rsidRPr="00222FD7" w:rsidRDefault="00B169FE" w:rsidP="00730169">
            <w:pPr>
              <w:spacing w:before="120"/>
              <w:jc w:val="center"/>
              <w:rPr>
                <w:rFonts w:cs="Arial"/>
                <w:b/>
                <w:sz w:val="24"/>
                <w:szCs w:val="24"/>
              </w:rPr>
            </w:pPr>
            <w:r w:rsidRPr="00222FD7">
              <w:rPr>
                <w:rFonts w:cs="Arial"/>
                <w:b/>
                <w:sz w:val="24"/>
                <w:szCs w:val="24"/>
              </w:rPr>
              <w:t>Représentant légal de l’établissement</w:t>
            </w: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i/>
                <w:sz w:val="24"/>
                <w:szCs w:val="24"/>
              </w:rPr>
            </w:pPr>
            <w:r w:rsidRPr="00222FD7">
              <w:rPr>
                <w:rFonts w:cs="Arial"/>
                <w:i/>
                <w:sz w:val="24"/>
                <w:szCs w:val="24"/>
                <w:highlight w:val="lightGray"/>
              </w:rPr>
              <w:t>Signature</w:t>
            </w:r>
          </w:p>
          <w:p w:rsidR="00B169FE" w:rsidRPr="00222FD7" w:rsidRDefault="00B169FE" w:rsidP="00730169">
            <w:pPr>
              <w:spacing w:before="120"/>
              <w:jc w:val="center"/>
              <w:rPr>
                <w:rFonts w:cs="Arial"/>
              </w:rPr>
            </w:pPr>
          </w:p>
          <w:p w:rsidR="00B169FE" w:rsidRPr="00222FD7" w:rsidRDefault="00B169FE" w:rsidP="00730169">
            <w:pPr>
              <w:spacing w:before="120"/>
              <w:jc w:val="center"/>
              <w:rPr>
                <w:rFonts w:cs="Arial"/>
              </w:rPr>
            </w:pPr>
          </w:p>
          <w:p w:rsidR="00B169FE" w:rsidRPr="00222FD7" w:rsidRDefault="00B169FE" w:rsidP="00730169">
            <w:pPr>
              <w:spacing w:before="120"/>
              <w:jc w:val="center"/>
              <w:rPr>
                <w:rFonts w:cs="Arial"/>
              </w:rPr>
            </w:pPr>
          </w:p>
        </w:tc>
      </w:tr>
      <w:tr w:rsidR="00B169FE" w:rsidRPr="00222FD7" w:rsidTr="00730169">
        <w:trPr>
          <w:trHeight w:val="4359"/>
        </w:trPr>
        <w:tc>
          <w:tcPr>
            <w:tcW w:w="4077" w:type="dxa"/>
            <w:shd w:val="clear" w:color="auto" w:fill="auto"/>
          </w:tcPr>
          <w:p w:rsidR="00B169FE" w:rsidRPr="00222FD7" w:rsidRDefault="00B169FE" w:rsidP="00730169">
            <w:pPr>
              <w:spacing w:before="120"/>
              <w:jc w:val="center"/>
              <w:rPr>
                <w:rFonts w:cs="Arial"/>
                <w:b/>
                <w:sz w:val="24"/>
                <w:szCs w:val="24"/>
              </w:rPr>
            </w:pPr>
            <w:r w:rsidRPr="00222FD7">
              <w:rPr>
                <w:rFonts w:cs="Arial"/>
              </w:rPr>
              <w:br w:type="page"/>
            </w:r>
            <w:r w:rsidRPr="00222FD7">
              <w:rPr>
                <w:rFonts w:cs="Arial"/>
                <w:b/>
                <w:sz w:val="24"/>
              </w:rPr>
              <w:t>P</w:t>
            </w:r>
            <w:r w:rsidRPr="00222FD7">
              <w:rPr>
                <w:rFonts w:cs="Arial"/>
                <w:b/>
                <w:sz w:val="24"/>
                <w:szCs w:val="24"/>
              </w:rPr>
              <w:t>harmacien chef de service</w:t>
            </w:r>
          </w:p>
          <w:p w:rsidR="00B169FE" w:rsidRPr="00222FD7" w:rsidRDefault="00B169FE" w:rsidP="00730169">
            <w:pPr>
              <w:spacing w:before="120"/>
              <w:jc w:val="center"/>
              <w:rPr>
                <w:rFonts w:cs="Arial"/>
                <w:b/>
                <w:sz w:val="24"/>
                <w:szCs w:val="24"/>
              </w:rPr>
            </w:pPr>
          </w:p>
          <w:p w:rsidR="00B169FE" w:rsidRPr="00222FD7" w:rsidRDefault="00B169FE" w:rsidP="00730169">
            <w:pPr>
              <w:spacing w:before="120"/>
              <w:jc w:val="center"/>
              <w:rPr>
                <w:rFonts w:cs="Arial"/>
                <w:i/>
                <w:sz w:val="24"/>
                <w:szCs w:val="24"/>
              </w:rPr>
            </w:pPr>
            <w:r w:rsidRPr="00222FD7">
              <w:rPr>
                <w:rFonts w:cs="Arial"/>
                <w:i/>
                <w:sz w:val="24"/>
                <w:szCs w:val="24"/>
                <w:highlight w:val="lightGray"/>
              </w:rPr>
              <w:t>Signature</w:t>
            </w: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sz w:val="24"/>
                <w:szCs w:val="24"/>
              </w:rPr>
            </w:pPr>
          </w:p>
          <w:p w:rsidR="00B169FE" w:rsidRPr="00222FD7" w:rsidRDefault="00B169FE" w:rsidP="00730169">
            <w:pPr>
              <w:spacing w:before="120"/>
              <w:jc w:val="center"/>
              <w:rPr>
                <w:rFonts w:cs="Arial"/>
              </w:rPr>
            </w:pPr>
          </w:p>
        </w:tc>
        <w:tc>
          <w:tcPr>
            <w:tcW w:w="4395" w:type="dxa"/>
            <w:shd w:val="clear" w:color="auto" w:fill="auto"/>
          </w:tcPr>
          <w:p w:rsidR="00B169FE" w:rsidRPr="00222FD7" w:rsidRDefault="00B169FE" w:rsidP="00730169">
            <w:pPr>
              <w:spacing w:before="120"/>
              <w:jc w:val="center"/>
              <w:rPr>
                <w:rFonts w:cs="Arial"/>
                <w:sz w:val="24"/>
                <w:szCs w:val="24"/>
              </w:rPr>
            </w:pPr>
            <w:r w:rsidRPr="00222FD7">
              <w:rPr>
                <w:rFonts w:cs="Arial"/>
                <w:b/>
                <w:sz w:val="24"/>
              </w:rPr>
              <w:t>P</w:t>
            </w:r>
            <w:r w:rsidRPr="00222FD7">
              <w:rPr>
                <w:rFonts w:cs="Arial"/>
                <w:b/>
                <w:sz w:val="24"/>
                <w:szCs w:val="24"/>
              </w:rPr>
              <w:t>harmacien chef de service</w:t>
            </w:r>
          </w:p>
          <w:p w:rsidR="00B169FE" w:rsidRPr="00222FD7" w:rsidRDefault="00B169FE" w:rsidP="00730169">
            <w:pPr>
              <w:spacing w:before="120"/>
              <w:jc w:val="center"/>
              <w:rPr>
                <w:rFonts w:cs="Arial"/>
              </w:rPr>
            </w:pPr>
          </w:p>
          <w:p w:rsidR="00B169FE" w:rsidRPr="00222FD7" w:rsidRDefault="00B169FE" w:rsidP="00730169">
            <w:pPr>
              <w:spacing w:before="120"/>
              <w:jc w:val="center"/>
              <w:rPr>
                <w:rFonts w:cs="Arial"/>
                <w:i/>
                <w:sz w:val="24"/>
                <w:szCs w:val="24"/>
              </w:rPr>
            </w:pPr>
            <w:r w:rsidRPr="00222FD7">
              <w:rPr>
                <w:rFonts w:cs="Arial"/>
                <w:i/>
                <w:sz w:val="24"/>
                <w:szCs w:val="24"/>
                <w:highlight w:val="lightGray"/>
              </w:rPr>
              <w:t>Signature</w:t>
            </w:r>
          </w:p>
          <w:p w:rsidR="00B169FE" w:rsidRPr="00222FD7" w:rsidRDefault="00B169FE" w:rsidP="00730169">
            <w:pPr>
              <w:jc w:val="center"/>
              <w:rPr>
                <w:rFonts w:cs="Arial"/>
              </w:rPr>
            </w:pPr>
          </w:p>
        </w:tc>
      </w:tr>
    </w:tbl>
    <w:p w:rsidR="00B169FE" w:rsidRDefault="00B169FE" w:rsidP="00B169FE"/>
    <w:p w:rsidR="008B75F1" w:rsidRDefault="008B75F1"/>
    <w:sectPr w:rsidR="008B75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FE" w:rsidRDefault="00B169FE" w:rsidP="00B169FE">
      <w:pPr>
        <w:spacing w:after="0" w:line="240" w:lineRule="auto"/>
      </w:pPr>
      <w:r>
        <w:separator/>
      </w:r>
    </w:p>
  </w:endnote>
  <w:endnote w:type="continuationSeparator" w:id="0">
    <w:p w:rsidR="00B169FE" w:rsidRDefault="00B169FE" w:rsidP="00B1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FE" w:rsidRDefault="00B169FE" w:rsidP="00B169FE">
      <w:pPr>
        <w:spacing w:after="0" w:line="240" w:lineRule="auto"/>
      </w:pPr>
      <w:r>
        <w:separator/>
      </w:r>
    </w:p>
  </w:footnote>
  <w:footnote w:type="continuationSeparator" w:id="0">
    <w:p w:rsidR="00B169FE" w:rsidRDefault="00B169FE" w:rsidP="00B169FE">
      <w:pPr>
        <w:spacing w:after="0" w:line="240" w:lineRule="auto"/>
      </w:pPr>
      <w:r>
        <w:continuationSeparator/>
      </w:r>
    </w:p>
  </w:footnote>
  <w:footnote w:id="1">
    <w:p w:rsidR="00B169FE" w:rsidRPr="00222FD7" w:rsidRDefault="00B169FE" w:rsidP="00B169FE">
      <w:pPr>
        <w:pStyle w:val="Notedebasdepage"/>
        <w:rPr>
          <w:rFonts w:ascii="Arial" w:hAnsi="Arial" w:cs="Arial"/>
        </w:rPr>
      </w:pPr>
      <w:r w:rsidRPr="00222FD7">
        <w:rPr>
          <w:rStyle w:val="Appelnotedebasdep"/>
          <w:rFonts w:ascii="Arial" w:hAnsi="Arial" w:cs="Arial"/>
        </w:rPr>
        <w:footnoteRef/>
      </w:r>
      <w:r w:rsidRPr="00222FD7">
        <w:rPr>
          <w:rFonts w:ascii="Arial" w:hAnsi="Arial" w:cs="Arial"/>
        </w:rPr>
        <w:t xml:space="preserve"> Désigné sous le terme de « </w:t>
      </w:r>
      <w:r w:rsidRPr="00222FD7">
        <w:rPr>
          <w:rFonts w:ascii="Arial" w:hAnsi="Arial" w:cs="Arial"/>
          <w:i/>
        </w:rPr>
        <w:t>prestataire</w:t>
      </w:r>
      <w:r w:rsidRPr="00222FD7">
        <w:rPr>
          <w:rFonts w:ascii="Arial" w:hAnsi="Arial" w:cs="Arial"/>
        </w:rPr>
        <w:t> » (en italique) dans l’ensemble du document lorsqu’il s’agit de citer le nom de l’établissement</w:t>
      </w:r>
    </w:p>
  </w:footnote>
  <w:footnote w:id="2">
    <w:p w:rsidR="00B169FE" w:rsidRDefault="00B169FE" w:rsidP="00B169FE">
      <w:pPr>
        <w:pStyle w:val="Notedebasdepage"/>
      </w:pPr>
      <w:r w:rsidRPr="00222FD7">
        <w:rPr>
          <w:rStyle w:val="Appelnotedebasdep"/>
          <w:rFonts w:ascii="Arial" w:hAnsi="Arial" w:cs="Arial"/>
        </w:rPr>
        <w:footnoteRef/>
      </w:r>
      <w:r w:rsidRPr="00222FD7">
        <w:rPr>
          <w:rFonts w:ascii="Arial" w:hAnsi="Arial" w:cs="Arial"/>
        </w:rPr>
        <w:t xml:space="preserve"> Désigné sous le terme de « </w:t>
      </w:r>
      <w:r w:rsidRPr="00222FD7">
        <w:rPr>
          <w:rFonts w:ascii="Arial" w:hAnsi="Arial" w:cs="Arial"/>
          <w:i/>
        </w:rPr>
        <w:t>donneur d’ordre</w:t>
      </w:r>
      <w:r w:rsidRPr="00222FD7">
        <w:rPr>
          <w:rFonts w:ascii="Arial" w:hAnsi="Arial" w:cs="Arial"/>
        </w:rPr>
        <w:t> » (en italique) dans l’ensemble du document lorsqu’il s’agit de citer le nom de l’établissement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0603"/>
    <w:multiLevelType w:val="hybridMultilevel"/>
    <w:tmpl w:val="B7780D5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0D094233"/>
    <w:multiLevelType w:val="hybridMultilevel"/>
    <w:tmpl w:val="AADC46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8E77C8"/>
    <w:multiLevelType w:val="hybridMultilevel"/>
    <w:tmpl w:val="07B89A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E27A90"/>
    <w:multiLevelType w:val="hybridMultilevel"/>
    <w:tmpl w:val="8BAAA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C14F6F"/>
    <w:multiLevelType w:val="hybridMultilevel"/>
    <w:tmpl w:val="D1C4E6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803D46"/>
    <w:multiLevelType w:val="hybridMultilevel"/>
    <w:tmpl w:val="D46A98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E673E8"/>
    <w:multiLevelType w:val="multilevel"/>
    <w:tmpl w:val="96CA5B5A"/>
    <w:lvl w:ilvl="0">
      <w:start w:val="1"/>
      <w:numFmt w:val="upperRoman"/>
      <w:lvlText w:val="%1."/>
      <w:lvlJc w:val="left"/>
      <w:pPr>
        <w:ind w:left="2705" w:hanging="720"/>
      </w:pPr>
      <w:rPr>
        <w:rFonts w:hint="default"/>
      </w:rPr>
    </w:lvl>
    <w:lvl w:ilvl="1">
      <w:start w:val="3"/>
      <w:numFmt w:val="decimal"/>
      <w:isLgl/>
      <w:lvlText w:val="%1.%2"/>
      <w:lvlJc w:val="left"/>
      <w:pPr>
        <w:ind w:left="720" w:hanging="360"/>
      </w:pPr>
      <w:rPr>
        <w:rFonts w:hint="default"/>
        <w:b/>
        <w:sz w:val="24"/>
        <w:u w:val="single"/>
      </w:rPr>
    </w:lvl>
    <w:lvl w:ilvl="2">
      <w:start w:val="1"/>
      <w:numFmt w:val="decimal"/>
      <w:isLgl/>
      <w:lvlText w:val="%1.%2.%3"/>
      <w:lvlJc w:val="left"/>
      <w:pPr>
        <w:ind w:left="1080" w:hanging="720"/>
      </w:pPr>
      <w:rPr>
        <w:rFonts w:hint="default"/>
        <w:b/>
        <w:sz w:val="24"/>
        <w:u w:val="single"/>
      </w:rPr>
    </w:lvl>
    <w:lvl w:ilvl="3">
      <w:start w:val="1"/>
      <w:numFmt w:val="decimal"/>
      <w:isLgl/>
      <w:lvlText w:val="%1.%2.%3.%4"/>
      <w:lvlJc w:val="left"/>
      <w:pPr>
        <w:ind w:left="1080" w:hanging="720"/>
      </w:pPr>
      <w:rPr>
        <w:rFonts w:hint="default"/>
        <w:b/>
        <w:sz w:val="24"/>
        <w:u w:val="single"/>
      </w:rPr>
    </w:lvl>
    <w:lvl w:ilvl="4">
      <w:start w:val="1"/>
      <w:numFmt w:val="decimal"/>
      <w:isLgl/>
      <w:lvlText w:val="%1.%2.%3.%4.%5"/>
      <w:lvlJc w:val="left"/>
      <w:pPr>
        <w:ind w:left="1440" w:hanging="1080"/>
      </w:pPr>
      <w:rPr>
        <w:rFonts w:hint="default"/>
        <w:b/>
        <w:sz w:val="24"/>
        <w:u w:val="single"/>
      </w:rPr>
    </w:lvl>
    <w:lvl w:ilvl="5">
      <w:start w:val="1"/>
      <w:numFmt w:val="decimal"/>
      <w:isLgl/>
      <w:lvlText w:val="%1.%2.%3.%4.%5.%6"/>
      <w:lvlJc w:val="left"/>
      <w:pPr>
        <w:ind w:left="1440" w:hanging="1080"/>
      </w:pPr>
      <w:rPr>
        <w:rFonts w:hint="default"/>
        <w:b/>
        <w:sz w:val="24"/>
        <w:u w:val="single"/>
      </w:rPr>
    </w:lvl>
    <w:lvl w:ilvl="6">
      <w:start w:val="1"/>
      <w:numFmt w:val="decimal"/>
      <w:isLgl/>
      <w:lvlText w:val="%1.%2.%3.%4.%5.%6.%7"/>
      <w:lvlJc w:val="left"/>
      <w:pPr>
        <w:ind w:left="1800" w:hanging="1440"/>
      </w:pPr>
      <w:rPr>
        <w:rFonts w:hint="default"/>
        <w:b/>
        <w:sz w:val="24"/>
        <w:u w:val="single"/>
      </w:rPr>
    </w:lvl>
    <w:lvl w:ilvl="7">
      <w:start w:val="1"/>
      <w:numFmt w:val="decimal"/>
      <w:isLgl/>
      <w:lvlText w:val="%1.%2.%3.%4.%5.%6.%7.%8"/>
      <w:lvlJc w:val="left"/>
      <w:pPr>
        <w:ind w:left="1800" w:hanging="1440"/>
      </w:pPr>
      <w:rPr>
        <w:rFonts w:hint="default"/>
        <w:b/>
        <w:sz w:val="24"/>
        <w:u w:val="single"/>
      </w:rPr>
    </w:lvl>
    <w:lvl w:ilvl="8">
      <w:start w:val="1"/>
      <w:numFmt w:val="decimal"/>
      <w:isLgl/>
      <w:lvlText w:val="%1.%2.%3.%4.%5.%6.%7.%8.%9"/>
      <w:lvlJc w:val="left"/>
      <w:pPr>
        <w:ind w:left="1800" w:hanging="1440"/>
      </w:pPr>
      <w:rPr>
        <w:rFonts w:hint="default"/>
        <w:b/>
        <w:sz w:val="24"/>
        <w:u w:val="single"/>
      </w:rPr>
    </w:lvl>
  </w:abstractNum>
  <w:abstractNum w:abstractNumId="7">
    <w:nsid w:val="239541E1"/>
    <w:multiLevelType w:val="hybridMultilevel"/>
    <w:tmpl w:val="4F362DD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99362A"/>
    <w:multiLevelType w:val="hybridMultilevel"/>
    <w:tmpl w:val="86366C70"/>
    <w:lvl w:ilvl="0" w:tplc="E8A6D86E">
      <w:start w:val="101"/>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7B5187"/>
    <w:multiLevelType w:val="hybridMultilevel"/>
    <w:tmpl w:val="C96CD0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FC1680"/>
    <w:multiLevelType w:val="hybridMultilevel"/>
    <w:tmpl w:val="A420D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CD3894"/>
    <w:multiLevelType w:val="hybridMultilevel"/>
    <w:tmpl w:val="467A19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C472B33"/>
    <w:multiLevelType w:val="hybridMultilevel"/>
    <w:tmpl w:val="EC6A57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553679"/>
    <w:multiLevelType w:val="multilevel"/>
    <w:tmpl w:val="098CA9CA"/>
    <w:lvl w:ilvl="0">
      <w:start w:val="1"/>
      <w:numFmt w:val="decimal"/>
      <w:lvlText w:val="%1."/>
      <w:lvlJc w:val="left"/>
      <w:pPr>
        <w:ind w:left="720" w:hanging="360"/>
      </w:pPr>
      <w:rPr>
        <w:rFonts w:hint="default"/>
        <w:b/>
      </w:rPr>
    </w:lvl>
    <w:lvl w:ilvl="1">
      <w:start w:val="2"/>
      <w:numFmt w:val="decimal"/>
      <w:isLgl/>
      <w:lvlText w:val="%1.%2"/>
      <w:lvlJc w:val="left"/>
      <w:pPr>
        <w:ind w:left="1785" w:hanging="525"/>
      </w:pPr>
      <w:rPr>
        <w:rFonts w:hint="default"/>
      </w:rPr>
    </w:lvl>
    <w:lvl w:ilvl="2">
      <w:start w:val="5"/>
      <w:numFmt w:val="decimal"/>
      <w:isLgl/>
      <w:lvlText w:val="%1.%2.%3"/>
      <w:lvlJc w:val="left"/>
      <w:pPr>
        <w:ind w:left="2880" w:hanging="720"/>
      </w:pPr>
      <w:rPr>
        <w:rFonts w:hint="default"/>
      </w:rPr>
    </w:lvl>
    <w:lvl w:ilvl="3">
      <w:start w:val="1"/>
      <w:numFmt w:val="lowerLetter"/>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360" w:hanging="1800"/>
      </w:pPr>
      <w:rPr>
        <w:rFonts w:hint="default"/>
      </w:rPr>
    </w:lvl>
  </w:abstractNum>
  <w:abstractNum w:abstractNumId="14">
    <w:nsid w:val="6E976DB3"/>
    <w:multiLevelType w:val="hybridMultilevel"/>
    <w:tmpl w:val="739201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0454DD"/>
    <w:multiLevelType w:val="multilevel"/>
    <w:tmpl w:val="B6C4F178"/>
    <w:lvl w:ilvl="0">
      <w:start w:val="3"/>
      <w:numFmt w:val="decimal"/>
      <w:lvlText w:val="%1"/>
      <w:lvlJc w:val="left"/>
      <w:pPr>
        <w:ind w:left="360" w:hanging="360"/>
      </w:pPr>
      <w:rPr>
        <w:rFonts w:hint="default"/>
        <w:b/>
        <w:sz w:val="24"/>
      </w:rPr>
    </w:lvl>
    <w:lvl w:ilvl="1">
      <w:start w:val="5"/>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lowerLetter"/>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6">
    <w:nsid w:val="7237010B"/>
    <w:multiLevelType w:val="hybridMultilevel"/>
    <w:tmpl w:val="4DECC9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8B7C49"/>
    <w:multiLevelType w:val="hybridMultilevel"/>
    <w:tmpl w:val="AA9A8950"/>
    <w:lvl w:ilvl="0" w:tplc="B2226A7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3"/>
  </w:num>
  <w:num w:numId="2">
    <w:abstractNumId w:val="8"/>
  </w:num>
  <w:num w:numId="3">
    <w:abstractNumId w:val="6"/>
  </w:num>
  <w:num w:numId="4">
    <w:abstractNumId w:val="7"/>
  </w:num>
  <w:num w:numId="5">
    <w:abstractNumId w:val="14"/>
  </w:num>
  <w:num w:numId="6">
    <w:abstractNumId w:val="11"/>
  </w:num>
  <w:num w:numId="7">
    <w:abstractNumId w:val="9"/>
  </w:num>
  <w:num w:numId="8">
    <w:abstractNumId w:val="16"/>
  </w:num>
  <w:num w:numId="9">
    <w:abstractNumId w:val="0"/>
  </w:num>
  <w:num w:numId="10">
    <w:abstractNumId w:val="12"/>
  </w:num>
  <w:num w:numId="11">
    <w:abstractNumId w:val="1"/>
  </w:num>
  <w:num w:numId="12">
    <w:abstractNumId w:val="2"/>
  </w:num>
  <w:num w:numId="13">
    <w:abstractNumId w:val="10"/>
  </w:num>
  <w:num w:numId="14">
    <w:abstractNumId w:val="5"/>
  </w:num>
  <w:num w:numId="15">
    <w:abstractNumId w:val="4"/>
  </w:num>
  <w:num w:numId="16">
    <w:abstractNumId w:val="17"/>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FE"/>
    <w:rsid w:val="008B75F1"/>
    <w:rsid w:val="00B16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FE"/>
    <w:pPr>
      <w:spacing w:after="160" w:line="259" w:lineRule="auto"/>
    </w:pPr>
  </w:style>
  <w:style w:type="paragraph" w:styleId="Titre3">
    <w:name w:val="heading 3"/>
    <w:basedOn w:val="Normal"/>
    <w:next w:val="Normal"/>
    <w:link w:val="Titre3Car"/>
    <w:uiPriority w:val="9"/>
    <w:unhideWhenUsed/>
    <w:qFormat/>
    <w:rsid w:val="00B169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169FE"/>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B169FE"/>
    <w:pPr>
      <w:ind w:left="720"/>
      <w:contextualSpacing/>
    </w:pPr>
  </w:style>
  <w:style w:type="paragraph" w:styleId="Notedebasdepage">
    <w:name w:val="footnote text"/>
    <w:basedOn w:val="Normal"/>
    <w:link w:val="NotedebasdepageCar"/>
    <w:uiPriority w:val="99"/>
    <w:unhideWhenUsed/>
    <w:rsid w:val="00B169FE"/>
    <w:pPr>
      <w:spacing w:after="0" w:line="240" w:lineRule="auto"/>
    </w:pPr>
    <w:rPr>
      <w:sz w:val="20"/>
      <w:szCs w:val="20"/>
    </w:rPr>
  </w:style>
  <w:style w:type="character" w:customStyle="1" w:styleId="NotedebasdepageCar">
    <w:name w:val="Note de bas de page Car"/>
    <w:basedOn w:val="Policepardfaut"/>
    <w:link w:val="Notedebasdepage"/>
    <w:uiPriority w:val="99"/>
    <w:rsid w:val="00B169FE"/>
    <w:rPr>
      <w:sz w:val="20"/>
      <w:szCs w:val="20"/>
    </w:rPr>
  </w:style>
  <w:style w:type="character" w:styleId="Appelnotedebasdep">
    <w:name w:val="footnote reference"/>
    <w:basedOn w:val="Policepardfaut"/>
    <w:uiPriority w:val="99"/>
    <w:unhideWhenUsed/>
    <w:rsid w:val="00B169FE"/>
    <w:rPr>
      <w:vertAlign w:val="superscript"/>
    </w:rPr>
  </w:style>
  <w:style w:type="paragraph" w:styleId="Retraitcorpsdetexte">
    <w:name w:val="Body Text Indent"/>
    <w:basedOn w:val="Normal"/>
    <w:link w:val="RetraitcorpsdetexteCar"/>
    <w:uiPriority w:val="99"/>
    <w:unhideWhenUsed/>
    <w:rsid w:val="00B169FE"/>
    <w:pPr>
      <w:spacing w:before="60" w:after="120" w:line="264" w:lineRule="auto"/>
      <w:ind w:left="283"/>
      <w:jc w:val="both"/>
    </w:pPr>
    <w:rPr>
      <w:rFonts w:ascii="Arial" w:eastAsia="Arial" w:hAnsi="Arial" w:cs="Times New Roman"/>
      <w:sz w:val="20"/>
    </w:rPr>
  </w:style>
  <w:style w:type="character" w:customStyle="1" w:styleId="RetraitcorpsdetexteCar">
    <w:name w:val="Retrait corps de texte Car"/>
    <w:basedOn w:val="Policepardfaut"/>
    <w:link w:val="Retraitcorpsdetexte"/>
    <w:uiPriority w:val="99"/>
    <w:rsid w:val="00B169FE"/>
    <w:rPr>
      <w:rFonts w:ascii="Arial" w:eastAsia="Arial" w:hAnsi="Arial" w:cs="Times New Roman"/>
      <w:sz w:val="20"/>
    </w:rPr>
  </w:style>
  <w:style w:type="paragraph" w:styleId="En-tte">
    <w:name w:val="header"/>
    <w:basedOn w:val="Normal"/>
    <w:link w:val="En-tteCar"/>
    <w:uiPriority w:val="99"/>
    <w:unhideWhenUsed/>
    <w:rsid w:val="00B169FE"/>
    <w:pPr>
      <w:tabs>
        <w:tab w:val="center" w:pos="4536"/>
        <w:tab w:val="right" w:pos="9072"/>
      </w:tabs>
      <w:spacing w:after="0" w:line="240" w:lineRule="auto"/>
    </w:pPr>
  </w:style>
  <w:style w:type="character" w:customStyle="1" w:styleId="En-tteCar">
    <w:name w:val="En-tête Car"/>
    <w:basedOn w:val="Policepardfaut"/>
    <w:link w:val="En-tte"/>
    <w:uiPriority w:val="99"/>
    <w:rsid w:val="00B169FE"/>
  </w:style>
  <w:style w:type="paragraph" w:styleId="Pieddepage">
    <w:name w:val="footer"/>
    <w:basedOn w:val="Normal"/>
    <w:link w:val="PieddepageCar"/>
    <w:uiPriority w:val="99"/>
    <w:unhideWhenUsed/>
    <w:rsid w:val="00B169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FE"/>
    <w:pPr>
      <w:spacing w:after="160" w:line="259" w:lineRule="auto"/>
    </w:pPr>
  </w:style>
  <w:style w:type="paragraph" w:styleId="Titre3">
    <w:name w:val="heading 3"/>
    <w:basedOn w:val="Normal"/>
    <w:next w:val="Normal"/>
    <w:link w:val="Titre3Car"/>
    <w:uiPriority w:val="9"/>
    <w:unhideWhenUsed/>
    <w:qFormat/>
    <w:rsid w:val="00B169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169FE"/>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B169FE"/>
    <w:pPr>
      <w:ind w:left="720"/>
      <w:contextualSpacing/>
    </w:pPr>
  </w:style>
  <w:style w:type="paragraph" w:styleId="Notedebasdepage">
    <w:name w:val="footnote text"/>
    <w:basedOn w:val="Normal"/>
    <w:link w:val="NotedebasdepageCar"/>
    <w:uiPriority w:val="99"/>
    <w:unhideWhenUsed/>
    <w:rsid w:val="00B169FE"/>
    <w:pPr>
      <w:spacing w:after="0" w:line="240" w:lineRule="auto"/>
    </w:pPr>
    <w:rPr>
      <w:sz w:val="20"/>
      <w:szCs w:val="20"/>
    </w:rPr>
  </w:style>
  <w:style w:type="character" w:customStyle="1" w:styleId="NotedebasdepageCar">
    <w:name w:val="Note de bas de page Car"/>
    <w:basedOn w:val="Policepardfaut"/>
    <w:link w:val="Notedebasdepage"/>
    <w:uiPriority w:val="99"/>
    <w:rsid w:val="00B169FE"/>
    <w:rPr>
      <w:sz w:val="20"/>
      <w:szCs w:val="20"/>
    </w:rPr>
  </w:style>
  <w:style w:type="character" w:styleId="Appelnotedebasdep">
    <w:name w:val="footnote reference"/>
    <w:basedOn w:val="Policepardfaut"/>
    <w:uiPriority w:val="99"/>
    <w:unhideWhenUsed/>
    <w:rsid w:val="00B169FE"/>
    <w:rPr>
      <w:vertAlign w:val="superscript"/>
    </w:rPr>
  </w:style>
  <w:style w:type="paragraph" w:styleId="Retraitcorpsdetexte">
    <w:name w:val="Body Text Indent"/>
    <w:basedOn w:val="Normal"/>
    <w:link w:val="RetraitcorpsdetexteCar"/>
    <w:uiPriority w:val="99"/>
    <w:unhideWhenUsed/>
    <w:rsid w:val="00B169FE"/>
    <w:pPr>
      <w:spacing w:before="60" w:after="120" w:line="264" w:lineRule="auto"/>
      <w:ind w:left="283"/>
      <w:jc w:val="both"/>
    </w:pPr>
    <w:rPr>
      <w:rFonts w:ascii="Arial" w:eastAsia="Arial" w:hAnsi="Arial" w:cs="Times New Roman"/>
      <w:sz w:val="20"/>
    </w:rPr>
  </w:style>
  <w:style w:type="character" w:customStyle="1" w:styleId="RetraitcorpsdetexteCar">
    <w:name w:val="Retrait corps de texte Car"/>
    <w:basedOn w:val="Policepardfaut"/>
    <w:link w:val="Retraitcorpsdetexte"/>
    <w:uiPriority w:val="99"/>
    <w:rsid w:val="00B169FE"/>
    <w:rPr>
      <w:rFonts w:ascii="Arial" w:eastAsia="Arial" w:hAnsi="Arial" w:cs="Times New Roman"/>
      <w:sz w:val="20"/>
    </w:rPr>
  </w:style>
  <w:style w:type="paragraph" w:styleId="En-tte">
    <w:name w:val="header"/>
    <w:basedOn w:val="Normal"/>
    <w:link w:val="En-tteCar"/>
    <w:uiPriority w:val="99"/>
    <w:unhideWhenUsed/>
    <w:rsid w:val="00B169FE"/>
    <w:pPr>
      <w:tabs>
        <w:tab w:val="center" w:pos="4536"/>
        <w:tab w:val="right" w:pos="9072"/>
      </w:tabs>
      <w:spacing w:after="0" w:line="240" w:lineRule="auto"/>
    </w:pPr>
  </w:style>
  <w:style w:type="character" w:customStyle="1" w:styleId="En-tteCar">
    <w:name w:val="En-tête Car"/>
    <w:basedOn w:val="Policepardfaut"/>
    <w:link w:val="En-tte"/>
    <w:uiPriority w:val="99"/>
    <w:rsid w:val="00B169FE"/>
  </w:style>
  <w:style w:type="paragraph" w:styleId="Pieddepage">
    <w:name w:val="footer"/>
    <w:basedOn w:val="Normal"/>
    <w:link w:val="PieddepageCar"/>
    <w:uiPriority w:val="99"/>
    <w:unhideWhenUsed/>
    <w:rsid w:val="00B169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3665</Words>
  <Characters>20159</Characters>
  <Application>Microsoft Office Word</Application>
  <DocSecurity>0</DocSecurity>
  <Lines>167</Lines>
  <Paragraphs>47</Paragraphs>
  <ScaleCrop>false</ScaleCrop>
  <Company>ATS</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KOLSKI, Maude</dc:creator>
  <cp:lastModifiedBy>KOLSKI, Maude</cp:lastModifiedBy>
  <cp:revision>1</cp:revision>
  <dcterms:created xsi:type="dcterms:W3CDTF">2019-05-21T14:32:00Z</dcterms:created>
  <dcterms:modified xsi:type="dcterms:W3CDTF">2019-05-21T14:38:00Z</dcterms:modified>
</cp:coreProperties>
</file>