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EC1" w:rsidRDefault="00223EFB" w:rsidP="000E3EC1">
      <w:pPr>
        <w:spacing w:after="120" w:line="264" w:lineRule="auto"/>
        <w:jc w:val="center"/>
        <w:rPr>
          <w:rFonts w:ascii="Arial" w:hAnsi="Arial" w:cs="Arial"/>
          <w:b/>
          <w:sz w:val="20"/>
        </w:rPr>
      </w:pPr>
      <w:bookmarkStart w:id="0" w:name="_GoBack"/>
      <w:bookmarkEnd w:id="0"/>
      <w:r w:rsidRPr="000E3EC1">
        <w:rPr>
          <w:rFonts w:ascii="Arial" w:hAnsi="Arial" w:cs="Arial"/>
          <w:b/>
          <w:sz w:val="20"/>
        </w:rPr>
        <w:t>A</w:t>
      </w:r>
      <w:r w:rsidR="000E3EC1" w:rsidRPr="000E3EC1">
        <w:rPr>
          <w:rFonts w:ascii="Arial" w:hAnsi="Arial" w:cs="Arial"/>
          <w:b/>
          <w:sz w:val="20"/>
        </w:rPr>
        <w:t xml:space="preserve">NNEXE </w:t>
      </w:r>
      <w:r w:rsidRPr="000E3EC1">
        <w:rPr>
          <w:rFonts w:ascii="Arial" w:hAnsi="Arial" w:cs="Arial"/>
          <w:b/>
          <w:sz w:val="20"/>
        </w:rPr>
        <w:t>4</w:t>
      </w:r>
    </w:p>
    <w:p w:rsidR="000E3EC1" w:rsidRPr="000E3EC1" w:rsidRDefault="000E3EC1" w:rsidP="000E3EC1">
      <w:pPr>
        <w:spacing w:after="120" w:line="264" w:lineRule="auto"/>
        <w:jc w:val="center"/>
        <w:rPr>
          <w:rFonts w:ascii="Arial" w:hAnsi="Arial" w:cs="Arial"/>
          <w:b/>
          <w:sz w:val="20"/>
        </w:rPr>
      </w:pPr>
    </w:p>
    <w:p w:rsidR="000E3EC1" w:rsidRDefault="000E3EC1" w:rsidP="000E3EC1">
      <w:pPr>
        <w:spacing w:after="0" w:line="264" w:lineRule="auto"/>
        <w:jc w:val="center"/>
        <w:rPr>
          <w:rFonts w:ascii="Arial" w:hAnsi="Arial" w:cs="Arial"/>
          <w:b/>
          <w:caps/>
          <w:sz w:val="20"/>
        </w:rPr>
      </w:pPr>
      <w:r w:rsidRPr="000E3EC1">
        <w:rPr>
          <w:rFonts w:ascii="Arial" w:hAnsi="Arial" w:cs="Arial"/>
          <w:b/>
          <w:caps/>
          <w:sz w:val="20"/>
        </w:rPr>
        <w:t>P</w:t>
      </w:r>
      <w:r w:rsidR="00223EFB" w:rsidRPr="000E3EC1">
        <w:rPr>
          <w:rFonts w:ascii="Arial" w:hAnsi="Arial" w:cs="Arial"/>
          <w:b/>
          <w:caps/>
          <w:sz w:val="20"/>
        </w:rPr>
        <w:t>résent</w:t>
      </w:r>
      <w:r>
        <w:rPr>
          <w:rFonts w:ascii="Arial" w:hAnsi="Arial" w:cs="Arial"/>
          <w:b/>
          <w:caps/>
          <w:sz w:val="20"/>
        </w:rPr>
        <w:t>ation des productions de l’ANAP</w:t>
      </w:r>
    </w:p>
    <w:p w:rsidR="00223EFB" w:rsidRDefault="00223EFB" w:rsidP="000E3EC1">
      <w:pPr>
        <w:spacing w:after="0" w:line="264" w:lineRule="auto"/>
        <w:jc w:val="center"/>
        <w:rPr>
          <w:rFonts w:ascii="Arial" w:hAnsi="Arial" w:cs="Arial"/>
          <w:b/>
          <w:caps/>
          <w:sz w:val="20"/>
        </w:rPr>
      </w:pPr>
      <w:r w:rsidRPr="000E3EC1">
        <w:rPr>
          <w:rFonts w:ascii="Arial" w:hAnsi="Arial" w:cs="Arial"/>
          <w:b/>
          <w:caps/>
          <w:sz w:val="20"/>
        </w:rPr>
        <w:t>sur le patrimoine immobilier dans le secteur médico-social</w:t>
      </w:r>
    </w:p>
    <w:p w:rsidR="000E3EC1" w:rsidRDefault="000E3EC1" w:rsidP="000E3EC1">
      <w:pPr>
        <w:spacing w:after="120" w:line="264" w:lineRule="auto"/>
        <w:jc w:val="center"/>
        <w:rPr>
          <w:rFonts w:ascii="Arial" w:hAnsi="Arial" w:cs="Arial"/>
          <w:b/>
          <w:caps/>
          <w:sz w:val="20"/>
        </w:rPr>
      </w:pPr>
    </w:p>
    <w:p w:rsidR="000E3EC1" w:rsidRPr="000E3EC1" w:rsidRDefault="000E3EC1" w:rsidP="000E3EC1">
      <w:pPr>
        <w:spacing w:after="120" w:line="264" w:lineRule="auto"/>
        <w:jc w:val="center"/>
        <w:rPr>
          <w:rFonts w:ascii="Arial" w:hAnsi="Arial" w:cs="Arial"/>
          <w:b/>
          <w:caps/>
          <w:sz w:val="20"/>
        </w:rPr>
      </w:pPr>
    </w:p>
    <w:p w:rsidR="00A072ED" w:rsidRPr="000E3EC1" w:rsidRDefault="0010767A" w:rsidP="0046567D">
      <w:pPr>
        <w:spacing w:after="120" w:line="264" w:lineRule="auto"/>
        <w:jc w:val="both"/>
        <w:rPr>
          <w:rFonts w:ascii="Arial" w:hAnsi="Arial" w:cs="Arial"/>
          <w:sz w:val="20"/>
        </w:rPr>
      </w:pPr>
      <w:r w:rsidRPr="000E3EC1">
        <w:rPr>
          <w:rFonts w:ascii="Arial" w:hAnsi="Arial" w:cs="Arial"/>
          <w:sz w:val="20"/>
        </w:rPr>
        <w:t>Afin d’accompagner les ARS dans leur travail de suivi de l’investissement des ESMS, la présente annexe rappelle les outils développés par l’ANAP depuis 2013 dédiés au patrimoine immobilier du secteur médico-social. Il s’agit d’exposer leurs fonctions et le contexte dans lequel il est pertinent de les mobiliser.</w:t>
      </w:r>
    </w:p>
    <w:p w:rsidR="0010767A" w:rsidRPr="000E3EC1" w:rsidRDefault="0010767A" w:rsidP="0046567D">
      <w:pPr>
        <w:spacing w:after="120" w:line="264" w:lineRule="auto"/>
        <w:jc w:val="both"/>
        <w:rPr>
          <w:rFonts w:ascii="Arial" w:hAnsi="Arial" w:cs="Arial"/>
          <w:sz w:val="20"/>
        </w:rPr>
      </w:pPr>
      <w:r w:rsidRPr="000E3EC1">
        <w:rPr>
          <w:rFonts w:ascii="Arial" w:hAnsi="Arial" w:cs="Arial"/>
          <w:sz w:val="20"/>
        </w:rPr>
        <w:t>Le travail de l’ANAP s’est plus particulièrement concentré sur les EHPAD, afin de réaliser des travaux poussés sur une activité particulière ; mais ses enseignements sont le plus souvent mobilisables pour d’autres types de structures.</w:t>
      </w:r>
    </w:p>
    <w:p w:rsidR="0010767A" w:rsidRDefault="0010767A" w:rsidP="0046567D">
      <w:pPr>
        <w:spacing w:after="120" w:line="264" w:lineRule="auto"/>
        <w:jc w:val="both"/>
        <w:rPr>
          <w:rFonts w:ascii="Arial" w:hAnsi="Arial" w:cs="Arial"/>
          <w:sz w:val="20"/>
        </w:rPr>
      </w:pPr>
      <w:r w:rsidRPr="000E3EC1">
        <w:rPr>
          <w:rFonts w:ascii="Arial" w:hAnsi="Arial" w:cs="Arial"/>
          <w:sz w:val="20"/>
        </w:rPr>
        <w:t>Quatre types d’outils ont été développés, qui suivent le cycle de la gestion du patrimoine :</w:t>
      </w:r>
    </w:p>
    <w:p w:rsidR="000E3EC1" w:rsidRPr="000E3EC1" w:rsidRDefault="000E3EC1" w:rsidP="0046567D">
      <w:pPr>
        <w:spacing w:after="120" w:line="264" w:lineRule="auto"/>
        <w:jc w:val="both"/>
        <w:rPr>
          <w:rFonts w:ascii="Arial" w:hAnsi="Arial" w:cs="Arial"/>
          <w:sz w:val="20"/>
        </w:rPr>
      </w:pPr>
    </w:p>
    <w:p w:rsidR="0010767A" w:rsidRPr="000E3EC1" w:rsidRDefault="0010767A" w:rsidP="0046567D">
      <w:pPr>
        <w:pStyle w:val="Paragraphedeliste"/>
        <w:numPr>
          <w:ilvl w:val="0"/>
          <w:numId w:val="1"/>
        </w:numPr>
        <w:spacing w:after="120" w:line="264" w:lineRule="auto"/>
        <w:contextualSpacing w:val="0"/>
        <w:jc w:val="both"/>
        <w:rPr>
          <w:rFonts w:ascii="Arial" w:hAnsi="Arial" w:cs="Arial"/>
          <w:b/>
          <w:sz w:val="20"/>
          <w:u w:val="single"/>
        </w:rPr>
      </w:pPr>
      <w:r w:rsidRPr="000E3EC1">
        <w:rPr>
          <w:rFonts w:ascii="Arial" w:hAnsi="Arial" w:cs="Arial"/>
          <w:b/>
          <w:sz w:val="20"/>
          <w:u w:val="single"/>
        </w:rPr>
        <w:t>La connaissance du patrimoine</w:t>
      </w:r>
      <w:r w:rsidR="0046567D" w:rsidRPr="000E3EC1">
        <w:rPr>
          <w:rFonts w:ascii="Arial" w:hAnsi="Arial" w:cs="Arial"/>
          <w:b/>
          <w:sz w:val="20"/>
        </w:rPr>
        <w:t> : le tableau de bord de la performance du secteur médico-social</w:t>
      </w:r>
    </w:p>
    <w:p w:rsidR="0010767A" w:rsidRPr="000E3EC1" w:rsidRDefault="0046567D" w:rsidP="0046567D">
      <w:pPr>
        <w:spacing w:after="120" w:line="264" w:lineRule="auto"/>
        <w:jc w:val="both"/>
        <w:rPr>
          <w:rFonts w:ascii="Arial" w:hAnsi="Arial" w:cs="Arial"/>
          <w:sz w:val="20"/>
        </w:rPr>
      </w:pPr>
      <w:r w:rsidRPr="000E3EC1">
        <w:rPr>
          <w:rFonts w:ascii="Arial" w:hAnsi="Arial" w:cs="Arial"/>
          <w:sz w:val="20"/>
        </w:rPr>
        <w:t>Le tableau de bord de la performance du secteur médico-social permet de caractériser le patrimoine de l’établissement. Il convient notamment de s’attacher à étudier :</w:t>
      </w:r>
    </w:p>
    <w:p w:rsidR="0046567D" w:rsidRPr="000E3EC1" w:rsidRDefault="0046567D" w:rsidP="0046567D">
      <w:pPr>
        <w:pStyle w:val="Paragraphedeliste"/>
        <w:numPr>
          <w:ilvl w:val="0"/>
          <w:numId w:val="2"/>
        </w:numPr>
        <w:spacing w:after="120" w:line="264" w:lineRule="auto"/>
        <w:jc w:val="both"/>
        <w:rPr>
          <w:rFonts w:ascii="Arial" w:hAnsi="Arial" w:cs="Arial"/>
          <w:sz w:val="20"/>
        </w:rPr>
      </w:pPr>
      <w:r w:rsidRPr="000E3EC1">
        <w:rPr>
          <w:rFonts w:ascii="Arial" w:hAnsi="Arial" w:cs="Arial"/>
          <w:sz w:val="20"/>
        </w:rPr>
        <w:t>Les données de caractérisation dédiées aux « ressources matérielles » : y figurent notamment des informations relatives à la superficie, à la date de construction / de dernière grosse rénovation, au respect de la réglementation accessibilité, sécurité incendie…</w:t>
      </w:r>
    </w:p>
    <w:p w:rsidR="0046567D" w:rsidRPr="000E3EC1" w:rsidRDefault="0046567D" w:rsidP="0046567D">
      <w:pPr>
        <w:pStyle w:val="Paragraphedeliste"/>
        <w:numPr>
          <w:ilvl w:val="0"/>
          <w:numId w:val="2"/>
        </w:numPr>
        <w:spacing w:after="120" w:line="264" w:lineRule="auto"/>
        <w:jc w:val="both"/>
        <w:rPr>
          <w:rFonts w:ascii="Arial" w:hAnsi="Arial" w:cs="Arial"/>
          <w:sz w:val="20"/>
        </w:rPr>
      </w:pPr>
      <w:r w:rsidRPr="000E3EC1">
        <w:rPr>
          <w:rFonts w:ascii="Arial" w:hAnsi="Arial" w:cs="Arial"/>
          <w:sz w:val="20"/>
        </w:rPr>
        <w:t xml:space="preserve">Et certains indicateurs financiers comme </w:t>
      </w:r>
      <w:r w:rsidR="000661E5" w:rsidRPr="000E3EC1">
        <w:rPr>
          <w:rFonts w:ascii="Arial" w:hAnsi="Arial" w:cs="Arial"/>
          <w:sz w:val="20"/>
        </w:rPr>
        <w:t xml:space="preserve">le taux de vétusté ou le taux d’endettement. </w:t>
      </w:r>
    </w:p>
    <w:p w:rsidR="0046567D" w:rsidRPr="000E3EC1" w:rsidRDefault="0046567D" w:rsidP="0046567D">
      <w:pPr>
        <w:spacing w:after="120" w:line="264" w:lineRule="auto"/>
        <w:jc w:val="both"/>
        <w:rPr>
          <w:rFonts w:ascii="Arial" w:hAnsi="Arial" w:cs="Arial"/>
          <w:sz w:val="20"/>
        </w:rPr>
      </w:pPr>
      <w:r w:rsidRPr="000E3EC1">
        <w:rPr>
          <w:rFonts w:ascii="Arial" w:hAnsi="Arial" w:cs="Arial"/>
          <w:sz w:val="20"/>
        </w:rPr>
        <w:t xml:space="preserve">Pour comparer ces données avec celles d’autres établissements, il conviendra naturellement de tenir compte de la catégorie de la structure (type d’ESMS), ainsi que de son activité (nombre de places </w:t>
      </w:r>
      <w:r w:rsidR="00C754C8" w:rsidRPr="000E3EC1">
        <w:rPr>
          <w:rFonts w:ascii="Arial" w:hAnsi="Arial" w:cs="Arial"/>
          <w:sz w:val="20"/>
        </w:rPr>
        <w:t>installées</w:t>
      </w:r>
      <w:r w:rsidRPr="000E3EC1">
        <w:rPr>
          <w:rFonts w:ascii="Arial" w:hAnsi="Arial" w:cs="Arial"/>
          <w:sz w:val="20"/>
        </w:rPr>
        <w:t>).</w:t>
      </w:r>
    </w:p>
    <w:p w:rsidR="000661E5" w:rsidRDefault="00806099" w:rsidP="0046567D">
      <w:pPr>
        <w:spacing w:after="120" w:line="264" w:lineRule="auto"/>
        <w:jc w:val="both"/>
        <w:rPr>
          <w:rFonts w:ascii="Arial" w:hAnsi="Arial" w:cs="Arial"/>
          <w:i/>
          <w:sz w:val="20"/>
        </w:rPr>
      </w:pPr>
      <w:hyperlink r:id="rId9" w:history="1">
        <w:r w:rsidR="000661E5" w:rsidRPr="000E3EC1">
          <w:rPr>
            <w:rStyle w:val="Lienhypertexte"/>
            <w:rFonts w:ascii="Arial" w:hAnsi="Arial" w:cs="Arial"/>
            <w:i/>
            <w:sz w:val="20"/>
          </w:rPr>
          <w:t>Accès au tableau de bord de la performance</w:t>
        </w:r>
      </w:hyperlink>
      <w:r w:rsidR="000661E5" w:rsidRPr="000E3EC1">
        <w:rPr>
          <w:rFonts w:ascii="Arial" w:hAnsi="Arial" w:cs="Arial"/>
          <w:i/>
          <w:sz w:val="20"/>
        </w:rPr>
        <w:t xml:space="preserve"> </w:t>
      </w:r>
    </w:p>
    <w:p w:rsidR="000E3EC1" w:rsidRPr="000E3EC1" w:rsidRDefault="000E3EC1" w:rsidP="0046567D">
      <w:pPr>
        <w:spacing w:after="120" w:line="264" w:lineRule="auto"/>
        <w:jc w:val="both"/>
        <w:rPr>
          <w:rFonts w:ascii="Arial" w:hAnsi="Arial" w:cs="Arial"/>
          <w:i/>
          <w:sz w:val="20"/>
        </w:rPr>
      </w:pPr>
    </w:p>
    <w:p w:rsidR="0010767A" w:rsidRPr="000E3EC1" w:rsidRDefault="0010767A" w:rsidP="0046567D">
      <w:pPr>
        <w:pStyle w:val="Paragraphedeliste"/>
        <w:numPr>
          <w:ilvl w:val="0"/>
          <w:numId w:val="1"/>
        </w:numPr>
        <w:spacing w:after="120" w:line="264" w:lineRule="auto"/>
        <w:contextualSpacing w:val="0"/>
        <w:jc w:val="both"/>
        <w:rPr>
          <w:rFonts w:ascii="Arial" w:hAnsi="Arial" w:cs="Arial"/>
          <w:b/>
          <w:sz w:val="20"/>
          <w:u w:val="single"/>
        </w:rPr>
      </w:pPr>
      <w:r w:rsidRPr="000E3EC1">
        <w:rPr>
          <w:rFonts w:ascii="Arial" w:hAnsi="Arial" w:cs="Arial"/>
          <w:b/>
          <w:sz w:val="20"/>
          <w:u w:val="single"/>
        </w:rPr>
        <w:t>La connaissance des coûts de maintenance</w:t>
      </w:r>
    </w:p>
    <w:p w:rsidR="0056099B" w:rsidRPr="000E3EC1" w:rsidRDefault="0056099B" w:rsidP="0046567D">
      <w:pPr>
        <w:spacing w:after="120" w:line="264" w:lineRule="auto"/>
        <w:jc w:val="both"/>
        <w:rPr>
          <w:rFonts w:ascii="Arial" w:hAnsi="Arial" w:cs="Arial"/>
          <w:sz w:val="20"/>
        </w:rPr>
      </w:pPr>
      <w:r w:rsidRPr="000E3EC1">
        <w:rPr>
          <w:rFonts w:ascii="Arial" w:hAnsi="Arial" w:cs="Arial"/>
          <w:sz w:val="20"/>
        </w:rPr>
        <w:t xml:space="preserve">La publication « Organiser la maintenance immobilière et le gros entretien renouvellement » a vocation à répondre </w:t>
      </w:r>
      <w:r w:rsidR="00C754C8" w:rsidRPr="000E3EC1">
        <w:rPr>
          <w:rFonts w:ascii="Arial" w:hAnsi="Arial" w:cs="Arial"/>
          <w:sz w:val="20"/>
        </w:rPr>
        <w:t xml:space="preserve">à la nécessité </w:t>
      </w:r>
      <w:r w:rsidRPr="000E3EC1">
        <w:rPr>
          <w:rFonts w:ascii="Arial" w:hAnsi="Arial" w:cs="Arial"/>
          <w:sz w:val="20"/>
        </w:rPr>
        <w:t xml:space="preserve"> de suivre les besoins d’entretien et de renouvellement de l’immobilier, </w:t>
      </w:r>
      <w:r w:rsidR="00821532" w:rsidRPr="000E3EC1">
        <w:rPr>
          <w:rFonts w:ascii="Arial" w:hAnsi="Arial" w:cs="Arial"/>
          <w:sz w:val="20"/>
        </w:rPr>
        <w:t>au regard des contraintes réglementaires et temporelles.</w:t>
      </w:r>
    </w:p>
    <w:p w:rsidR="008A03BB" w:rsidRPr="000E3EC1" w:rsidRDefault="008A03BB" w:rsidP="0046567D">
      <w:pPr>
        <w:spacing w:after="120" w:line="264" w:lineRule="auto"/>
        <w:jc w:val="both"/>
        <w:rPr>
          <w:rFonts w:ascii="Arial" w:hAnsi="Arial" w:cs="Arial"/>
          <w:sz w:val="20"/>
        </w:rPr>
      </w:pPr>
      <w:r w:rsidRPr="000E3EC1">
        <w:rPr>
          <w:rFonts w:ascii="Arial" w:hAnsi="Arial" w:cs="Arial"/>
          <w:sz w:val="20"/>
        </w:rPr>
        <w:t>Elle est complétée de sept outils pratiques, qui vont du recueil des principaux textes de référence relatifs à la maintenance des installations techniques, à l’outil d’auto-évaluation d’organisation de la maintenance.</w:t>
      </w:r>
    </w:p>
    <w:p w:rsidR="008A03BB" w:rsidRPr="000E3EC1" w:rsidRDefault="00806099" w:rsidP="008A03BB">
      <w:pPr>
        <w:spacing w:after="120" w:line="264" w:lineRule="auto"/>
        <w:rPr>
          <w:rFonts w:ascii="Arial" w:hAnsi="Arial" w:cs="Arial"/>
          <w:i/>
          <w:sz w:val="20"/>
        </w:rPr>
      </w:pPr>
      <w:hyperlink r:id="rId10" w:history="1">
        <w:r w:rsidR="008A03BB" w:rsidRPr="000E3EC1">
          <w:rPr>
            <w:rStyle w:val="Lienhypertexte"/>
            <w:rFonts w:ascii="Arial" w:hAnsi="Arial" w:cs="Arial"/>
            <w:i/>
            <w:sz w:val="20"/>
          </w:rPr>
          <w:t>Accès à la publication</w:t>
        </w:r>
      </w:hyperlink>
      <w:r w:rsidR="008A03BB" w:rsidRPr="000E3EC1">
        <w:rPr>
          <w:rFonts w:ascii="Arial" w:hAnsi="Arial" w:cs="Arial"/>
          <w:i/>
          <w:sz w:val="20"/>
        </w:rPr>
        <w:t xml:space="preserve"> </w:t>
      </w:r>
    </w:p>
    <w:p w:rsidR="008A03BB" w:rsidRDefault="00806099" w:rsidP="0046567D">
      <w:pPr>
        <w:spacing w:after="120" w:line="264" w:lineRule="auto"/>
        <w:jc w:val="both"/>
        <w:rPr>
          <w:rStyle w:val="Lienhypertexte"/>
          <w:rFonts w:ascii="Arial" w:hAnsi="Arial" w:cs="Arial"/>
          <w:i/>
          <w:sz w:val="20"/>
        </w:rPr>
      </w:pPr>
      <w:hyperlink r:id="rId11" w:history="1">
        <w:r w:rsidR="008A03BB" w:rsidRPr="000E3EC1">
          <w:rPr>
            <w:rStyle w:val="Lienhypertexte"/>
            <w:rFonts w:ascii="Arial" w:hAnsi="Arial" w:cs="Arial"/>
            <w:i/>
            <w:sz w:val="20"/>
          </w:rPr>
          <w:t>Accès aux outils</w:t>
        </w:r>
      </w:hyperlink>
    </w:p>
    <w:p w:rsidR="000E3EC1" w:rsidRPr="000E3EC1" w:rsidRDefault="000E3EC1" w:rsidP="0046567D">
      <w:pPr>
        <w:spacing w:after="120" w:line="264" w:lineRule="auto"/>
        <w:jc w:val="both"/>
        <w:rPr>
          <w:rFonts w:ascii="Arial" w:hAnsi="Arial" w:cs="Arial"/>
          <w:i/>
          <w:sz w:val="20"/>
        </w:rPr>
      </w:pPr>
    </w:p>
    <w:p w:rsidR="0010767A" w:rsidRPr="000E3EC1" w:rsidRDefault="0010767A" w:rsidP="0046567D">
      <w:pPr>
        <w:pStyle w:val="Paragraphedeliste"/>
        <w:numPr>
          <w:ilvl w:val="0"/>
          <w:numId w:val="1"/>
        </w:numPr>
        <w:spacing w:after="120" w:line="264" w:lineRule="auto"/>
        <w:contextualSpacing w:val="0"/>
        <w:jc w:val="both"/>
        <w:rPr>
          <w:rFonts w:ascii="Arial" w:hAnsi="Arial" w:cs="Arial"/>
          <w:b/>
          <w:sz w:val="20"/>
          <w:u w:val="single"/>
        </w:rPr>
      </w:pPr>
      <w:r w:rsidRPr="000E3EC1">
        <w:rPr>
          <w:rFonts w:ascii="Arial" w:hAnsi="Arial" w:cs="Arial"/>
          <w:b/>
          <w:sz w:val="20"/>
          <w:u w:val="single"/>
        </w:rPr>
        <w:t>L</w:t>
      </w:r>
      <w:r w:rsidR="00EE3181" w:rsidRPr="000E3EC1">
        <w:rPr>
          <w:rFonts w:ascii="Arial" w:hAnsi="Arial" w:cs="Arial"/>
          <w:b/>
          <w:sz w:val="20"/>
          <w:u w:val="single"/>
        </w:rPr>
        <w:t xml:space="preserve">es conséquences </w:t>
      </w:r>
      <w:r w:rsidRPr="000E3EC1">
        <w:rPr>
          <w:rFonts w:ascii="Arial" w:hAnsi="Arial" w:cs="Arial"/>
          <w:b/>
          <w:sz w:val="20"/>
          <w:u w:val="single"/>
        </w:rPr>
        <w:t>des investissements :</w:t>
      </w:r>
    </w:p>
    <w:p w:rsidR="00725795" w:rsidRPr="00725795" w:rsidRDefault="0010767A" w:rsidP="0046567D">
      <w:pPr>
        <w:pStyle w:val="Paragraphedeliste"/>
        <w:numPr>
          <w:ilvl w:val="1"/>
          <w:numId w:val="1"/>
        </w:numPr>
        <w:spacing w:after="120" w:line="264" w:lineRule="auto"/>
        <w:contextualSpacing w:val="0"/>
        <w:jc w:val="both"/>
        <w:rPr>
          <w:rFonts w:ascii="Arial" w:hAnsi="Arial" w:cs="Arial"/>
          <w:b/>
          <w:sz w:val="20"/>
          <w:u w:val="single"/>
        </w:rPr>
      </w:pPr>
      <w:r w:rsidRPr="000E3EC1">
        <w:rPr>
          <w:rFonts w:ascii="Arial" w:hAnsi="Arial" w:cs="Arial"/>
          <w:b/>
          <w:sz w:val="20"/>
          <w:u w:val="single"/>
        </w:rPr>
        <w:t>Dimensionnement et organisation des ESMS</w:t>
      </w:r>
      <w:r w:rsidR="00804774" w:rsidRPr="000E3EC1">
        <w:rPr>
          <w:rFonts w:ascii="Arial" w:hAnsi="Arial" w:cs="Arial"/>
          <w:sz w:val="20"/>
        </w:rPr>
        <w:t> </w:t>
      </w:r>
      <w:r w:rsidR="00804774" w:rsidRPr="000E3EC1">
        <w:rPr>
          <w:rFonts w:ascii="Arial" w:hAnsi="Arial" w:cs="Arial"/>
          <w:b/>
          <w:sz w:val="20"/>
        </w:rPr>
        <w:t>:</w:t>
      </w:r>
    </w:p>
    <w:p w:rsidR="0010767A" w:rsidRPr="000E3EC1" w:rsidRDefault="00804774" w:rsidP="00725795">
      <w:pPr>
        <w:pStyle w:val="Paragraphedeliste"/>
        <w:numPr>
          <w:ilvl w:val="0"/>
          <w:numId w:val="2"/>
        </w:numPr>
        <w:spacing w:after="120" w:line="264" w:lineRule="auto"/>
        <w:contextualSpacing w:val="0"/>
        <w:jc w:val="both"/>
        <w:rPr>
          <w:rFonts w:ascii="Arial" w:hAnsi="Arial" w:cs="Arial"/>
          <w:b/>
          <w:sz w:val="20"/>
          <w:u w:val="single"/>
        </w:rPr>
      </w:pPr>
      <w:r w:rsidRPr="000E3EC1">
        <w:rPr>
          <w:rFonts w:ascii="Arial" w:hAnsi="Arial" w:cs="Arial"/>
          <w:b/>
          <w:sz w:val="20"/>
        </w:rPr>
        <w:t>OSCIMES</w:t>
      </w:r>
    </w:p>
    <w:p w:rsidR="00804774" w:rsidRPr="000E3EC1" w:rsidRDefault="00804774" w:rsidP="00804774">
      <w:pPr>
        <w:spacing w:after="120" w:line="264" w:lineRule="auto"/>
        <w:jc w:val="both"/>
        <w:rPr>
          <w:rFonts w:ascii="Arial" w:hAnsi="Arial" w:cs="Arial"/>
          <w:sz w:val="20"/>
        </w:rPr>
      </w:pPr>
      <w:r w:rsidRPr="000E3EC1">
        <w:rPr>
          <w:rFonts w:ascii="Arial" w:hAnsi="Arial" w:cs="Arial"/>
          <w:sz w:val="20"/>
        </w:rPr>
        <w:t xml:space="preserve">OSCIMES est un outil d’aide à la décision et à l’estimation des futurs projets immobiliers. Son onglet « Simulation » permet </w:t>
      </w:r>
      <w:r w:rsidR="003D651A" w:rsidRPr="000E3EC1">
        <w:rPr>
          <w:rFonts w:ascii="Arial" w:hAnsi="Arial" w:cs="Arial"/>
          <w:sz w:val="20"/>
        </w:rPr>
        <w:t xml:space="preserve">d’anticiper </w:t>
      </w:r>
      <w:r w:rsidRPr="000E3EC1">
        <w:rPr>
          <w:rFonts w:ascii="Arial" w:hAnsi="Arial" w:cs="Arial"/>
          <w:sz w:val="20"/>
        </w:rPr>
        <w:t>surfaces et coûts de construction pour une opération</w:t>
      </w:r>
      <w:r w:rsidR="003D651A" w:rsidRPr="000E3EC1">
        <w:rPr>
          <w:rFonts w:ascii="Arial" w:hAnsi="Arial" w:cs="Arial"/>
          <w:sz w:val="20"/>
        </w:rPr>
        <w:t xml:space="preserve"> à venir</w:t>
      </w:r>
      <w:r w:rsidRPr="000E3EC1">
        <w:rPr>
          <w:rFonts w:ascii="Arial" w:hAnsi="Arial" w:cs="Arial"/>
          <w:sz w:val="20"/>
        </w:rPr>
        <w:t xml:space="preserve">, </w:t>
      </w:r>
      <w:r w:rsidRPr="000E3EC1">
        <w:rPr>
          <w:rFonts w:ascii="Arial" w:hAnsi="Arial" w:cs="Arial"/>
          <w:sz w:val="20"/>
        </w:rPr>
        <w:lastRenderedPageBreak/>
        <w:t>estimée à partir de données précédemment intégrées par d’autres établissements ayant partagé leur expérience. Il permet aussi l’accès libre à des résultats d’études et de recherches.</w:t>
      </w:r>
    </w:p>
    <w:p w:rsidR="00804774" w:rsidRPr="000E3EC1" w:rsidRDefault="00804774" w:rsidP="00804774">
      <w:pPr>
        <w:spacing w:after="120" w:line="264" w:lineRule="auto"/>
        <w:jc w:val="both"/>
        <w:rPr>
          <w:rFonts w:ascii="Arial" w:hAnsi="Arial" w:cs="Arial"/>
          <w:sz w:val="20"/>
        </w:rPr>
      </w:pPr>
      <w:r w:rsidRPr="000E3EC1">
        <w:rPr>
          <w:rFonts w:ascii="Arial" w:hAnsi="Arial" w:cs="Arial"/>
          <w:sz w:val="20"/>
        </w:rPr>
        <w:t>Par ailleurs, les établissements ayant transmis leurs données immobilières ont en outre accès à un tableau de bord enrichi. Ce tableau de bord peut toutefois être utile en amont de la réalisation d’une opération : les établissements concernés y seront alors habilités, sous réserve de s’engager à transférer postérieurement à leur opération immobilière, l’ensemble des éléments nécessaires à l’enrichissement du tableau de bord.</w:t>
      </w:r>
    </w:p>
    <w:p w:rsidR="00804774" w:rsidRDefault="00806099" w:rsidP="00804774">
      <w:pPr>
        <w:spacing w:after="120" w:line="264" w:lineRule="auto"/>
        <w:jc w:val="both"/>
        <w:rPr>
          <w:rStyle w:val="Lienhypertexte"/>
          <w:rFonts w:ascii="Arial" w:hAnsi="Arial" w:cs="Arial"/>
          <w:i/>
          <w:sz w:val="20"/>
        </w:rPr>
      </w:pPr>
      <w:hyperlink r:id="rId12" w:history="1">
        <w:r w:rsidR="00804774" w:rsidRPr="000E3EC1">
          <w:rPr>
            <w:rStyle w:val="Lienhypertexte"/>
            <w:rFonts w:ascii="Arial" w:hAnsi="Arial" w:cs="Arial"/>
            <w:i/>
            <w:sz w:val="20"/>
          </w:rPr>
          <w:t>Accès à OSCIMES</w:t>
        </w:r>
      </w:hyperlink>
    </w:p>
    <w:p w:rsidR="003B0AB7" w:rsidRDefault="003B0AB7" w:rsidP="00804774">
      <w:pPr>
        <w:spacing w:after="120" w:line="264" w:lineRule="auto"/>
        <w:jc w:val="both"/>
        <w:rPr>
          <w:rStyle w:val="Lienhypertexte"/>
          <w:rFonts w:ascii="Arial" w:hAnsi="Arial" w:cs="Arial"/>
          <w:i/>
          <w:sz w:val="20"/>
        </w:rPr>
      </w:pPr>
    </w:p>
    <w:p w:rsidR="000E3EC1" w:rsidRPr="00725795" w:rsidRDefault="00725795" w:rsidP="00725795">
      <w:pPr>
        <w:pStyle w:val="Paragraphedeliste"/>
        <w:numPr>
          <w:ilvl w:val="0"/>
          <w:numId w:val="2"/>
        </w:numPr>
        <w:spacing w:after="120" w:line="264" w:lineRule="auto"/>
        <w:contextualSpacing w:val="0"/>
        <w:jc w:val="both"/>
        <w:rPr>
          <w:rFonts w:ascii="Arial" w:hAnsi="Arial" w:cs="Arial"/>
          <w:b/>
          <w:sz w:val="20"/>
        </w:rPr>
      </w:pPr>
      <w:r w:rsidRPr="00725795">
        <w:rPr>
          <w:rFonts w:ascii="Arial" w:hAnsi="Arial" w:cs="Arial"/>
          <w:b/>
          <w:sz w:val="20"/>
        </w:rPr>
        <w:t>Le référentiel de dimensionnement d’un EHPAD</w:t>
      </w:r>
    </w:p>
    <w:p w:rsidR="00725795" w:rsidRPr="00725795" w:rsidRDefault="00725795" w:rsidP="00725795">
      <w:pPr>
        <w:spacing w:after="120" w:line="264" w:lineRule="auto"/>
        <w:jc w:val="both"/>
        <w:rPr>
          <w:rFonts w:ascii="Arial" w:hAnsi="Arial" w:cs="Arial"/>
          <w:sz w:val="20"/>
        </w:rPr>
      </w:pPr>
      <w:r w:rsidRPr="00725795">
        <w:rPr>
          <w:rFonts w:ascii="Arial" w:hAnsi="Arial" w:cs="Arial"/>
          <w:sz w:val="20"/>
        </w:rPr>
        <w:t xml:space="preserve">Il fournit des repères de surface pour un projet de construction ou de restructuration en lien avec l’organisation et les activités envisagées au sein d’un EHPAD, et également des « tendances » dans l’accompagnement des personnes âgées illustrées par des retours d’expérience détaillés. </w:t>
      </w:r>
    </w:p>
    <w:p w:rsidR="00725795" w:rsidRPr="00725795" w:rsidRDefault="00725795" w:rsidP="00725795">
      <w:pPr>
        <w:spacing w:after="120" w:line="264" w:lineRule="auto"/>
        <w:jc w:val="both"/>
        <w:rPr>
          <w:rFonts w:ascii="Arial" w:hAnsi="Arial" w:cs="Arial"/>
          <w:sz w:val="20"/>
        </w:rPr>
      </w:pPr>
      <w:r w:rsidRPr="00725795">
        <w:rPr>
          <w:rFonts w:ascii="Arial" w:hAnsi="Arial" w:cs="Arial"/>
          <w:sz w:val="20"/>
        </w:rPr>
        <w:t xml:space="preserve">Il s’agit d’une première version qui sera complétée, détaillée et enrichie au fil du temps et des expériences. </w:t>
      </w:r>
    </w:p>
    <w:p w:rsidR="00725795" w:rsidRPr="00725795" w:rsidRDefault="00806099" w:rsidP="00725795">
      <w:pPr>
        <w:spacing w:after="120" w:line="264" w:lineRule="auto"/>
        <w:jc w:val="both"/>
        <w:rPr>
          <w:rFonts w:ascii="Arial" w:hAnsi="Arial" w:cs="Arial"/>
          <w:i/>
          <w:sz w:val="20"/>
        </w:rPr>
      </w:pPr>
      <w:hyperlink r:id="rId13" w:history="1">
        <w:r w:rsidR="00725795" w:rsidRPr="00725795">
          <w:rPr>
            <w:rStyle w:val="Lienhypertexte"/>
            <w:rFonts w:ascii="Arial" w:hAnsi="Arial" w:cs="Arial"/>
            <w:i/>
            <w:sz w:val="20"/>
          </w:rPr>
          <w:t>Accès au référentiel</w:t>
        </w:r>
      </w:hyperlink>
    </w:p>
    <w:p w:rsidR="00725795" w:rsidRPr="00725795" w:rsidRDefault="00725795" w:rsidP="00725795">
      <w:pPr>
        <w:spacing w:after="120" w:line="264" w:lineRule="auto"/>
        <w:jc w:val="both"/>
        <w:rPr>
          <w:rFonts w:ascii="Arial" w:hAnsi="Arial" w:cs="Arial"/>
          <w:sz w:val="20"/>
        </w:rPr>
      </w:pPr>
    </w:p>
    <w:p w:rsidR="0010767A" w:rsidRPr="000E3EC1" w:rsidRDefault="0010767A" w:rsidP="0046567D">
      <w:pPr>
        <w:pStyle w:val="Paragraphedeliste"/>
        <w:numPr>
          <w:ilvl w:val="1"/>
          <w:numId w:val="1"/>
        </w:numPr>
        <w:spacing w:after="120" w:line="264" w:lineRule="auto"/>
        <w:contextualSpacing w:val="0"/>
        <w:jc w:val="both"/>
        <w:rPr>
          <w:rFonts w:ascii="Arial" w:hAnsi="Arial" w:cs="Arial"/>
          <w:b/>
          <w:sz w:val="20"/>
          <w:u w:val="single"/>
        </w:rPr>
      </w:pPr>
      <w:r w:rsidRPr="000E3EC1">
        <w:rPr>
          <w:rFonts w:ascii="Arial" w:hAnsi="Arial" w:cs="Arial"/>
          <w:b/>
          <w:sz w:val="20"/>
          <w:u w:val="single"/>
        </w:rPr>
        <w:t>Impact d’un investissement immobilier sur le tarif hébergement</w:t>
      </w:r>
    </w:p>
    <w:p w:rsidR="00EE3181" w:rsidRPr="000E3EC1" w:rsidRDefault="00EE3181" w:rsidP="00EE3181">
      <w:pPr>
        <w:spacing w:after="120" w:line="264" w:lineRule="auto"/>
        <w:jc w:val="both"/>
        <w:rPr>
          <w:rFonts w:ascii="Arial" w:hAnsi="Arial" w:cs="Arial"/>
          <w:sz w:val="20"/>
        </w:rPr>
      </w:pPr>
      <w:r w:rsidRPr="000E3EC1">
        <w:rPr>
          <w:rFonts w:ascii="Arial" w:hAnsi="Arial" w:cs="Arial"/>
          <w:sz w:val="20"/>
        </w:rPr>
        <w:t xml:space="preserve">Cet outil de simulation permet, en fonction des scénarii choisis, de calculer l’impact du projet sur le prix de journée. Il permet la variation d’un grand nombre de paramètres (surface, capacité, mode de financement, etc.) et restitue une analyse novatrice puisqu’il permet de calculer un impact différentiel du projet sur les différentes nature de coûts. Il s’accompagne d’un jeu de fiches didactiques permettant aux décideurs de se poser les bonnes questions et de les alerter sur certains points sensibles à surveiller lors d’une opération immobilière (exemples : fiche sur les points d’attention lors d’une opération de réhabilitation ; fiche sur le bilan du coût de l’opération ; fiche sur la TVA sur un projet immobilier en EHPAD…). </w:t>
      </w:r>
    </w:p>
    <w:p w:rsidR="00575A1D" w:rsidRPr="000E3EC1" w:rsidRDefault="00806099" w:rsidP="00575A1D">
      <w:pPr>
        <w:spacing w:after="120" w:line="264" w:lineRule="auto"/>
        <w:jc w:val="both"/>
        <w:rPr>
          <w:rFonts w:ascii="Arial" w:hAnsi="Arial" w:cs="Arial"/>
          <w:i/>
          <w:sz w:val="20"/>
        </w:rPr>
      </w:pPr>
      <w:hyperlink r:id="rId14" w:history="1">
        <w:r w:rsidR="00EE3181" w:rsidRPr="000E3EC1">
          <w:rPr>
            <w:rStyle w:val="Lienhypertexte"/>
            <w:rFonts w:ascii="Arial" w:hAnsi="Arial" w:cs="Arial"/>
            <w:i/>
            <w:sz w:val="20"/>
          </w:rPr>
          <w:t>Accès à l’outil de simulation</w:t>
        </w:r>
      </w:hyperlink>
    </w:p>
    <w:p w:rsidR="00EE3181" w:rsidRDefault="00806099" w:rsidP="00575A1D">
      <w:pPr>
        <w:spacing w:after="120" w:line="264" w:lineRule="auto"/>
        <w:jc w:val="both"/>
        <w:rPr>
          <w:rStyle w:val="Lienhypertexte"/>
          <w:rFonts w:ascii="Arial" w:hAnsi="Arial" w:cs="Arial"/>
          <w:i/>
          <w:sz w:val="20"/>
        </w:rPr>
      </w:pPr>
      <w:hyperlink r:id="rId15" w:history="1">
        <w:r w:rsidR="00EE3181" w:rsidRPr="000E3EC1">
          <w:rPr>
            <w:rStyle w:val="Lienhypertexte"/>
            <w:rFonts w:ascii="Arial" w:hAnsi="Arial" w:cs="Arial"/>
            <w:i/>
            <w:sz w:val="20"/>
          </w:rPr>
          <w:t>Accès aux fiches</w:t>
        </w:r>
      </w:hyperlink>
    </w:p>
    <w:p w:rsidR="000E3EC1" w:rsidRPr="000E3EC1" w:rsidRDefault="000E3EC1" w:rsidP="00575A1D">
      <w:pPr>
        <w:spacing w:after="120" w:line="264" w:lineRule="auto"/>
        <w:jc w:val="both"/>
        <w:rPr>
          <w:rFonts w:ascii="Arial" w:hAnsi="Arial" w:cs="Arial"/>
          <w:i/>
          <w:sz w:val="20"/>
        </w:rPr>
      </w:pPr>
    </w:p>
    <w:p w:rsidR="0010767A" w:rsidRPr="000E3EC1" w:rsidRDefault="0010767A" w:rsidP="0046567D">
      <w:pPr>
        <w:pStyle w:val="Paragraphedeliste"/>
        <w:numPr>
          <w:ilvl w:val="0"/>
          <w:numId w:val="1"/>
        </w:numPr>
        <w:spacing w:after="120" w:line="264" w:lineRule="auto"/>
        <w:contextualSpacing w:val="0"/>
        <w:jc w:val="both"/>
        <w:rPr>
          <w:rFonts w:ascii="Arial" w:hAnsi="Arial" w:cs="Arial"/>
          <w:b/>
          <w:sz w:val="20"/>
          <w:u w:val="single"/>
        </w:rPr>
      </w:pPr>
      <w:r w:rsidRPr="000E3EC1">
        <w:rPr>
          <w:rFonts w:ascii="Arial" w:hAnsi="Arial" w:cs="Arial"/>
          <w:b/>
          <w:sz w:val="20"/>
          <w:u w:val="single"/>
        </w:rPr>
        <w:t>La cession du patrimoine</w:t>
      </w:r>
      <w:r w:rsidR="00C55086" w:rsidRPr="000E3EC1">
        <w:rPr>
          <w:rFonts w:ascii="Arial" w:hAnsi="Arial" w:cs="Arial"/>
          <w:b/>
          <w:sz w:val="20"/>
        </w:rPr>
        <w:t> : Dynamisation des actifs immobiliers</w:t>
      </w:r>
    </w:p>
    <w:p w:rsidR="0046567D" w:rsidRPr="000E3EC1" w:rsidRDefault="00C55086" w:rsidP="0046567D">
      <w:pPr>
        <w:spacing w:after="120" w:line="264" w:lineRule="auto"/>
        <w:jc w:val="both"/>
        <w:rPr>
          <w:rFonts w:ascii="Arial" w:hAnsi="Arial" w:cs="Arial"/>
          <w:sz w:val="20"/>
        </w:rPr>
      </w:pPr>
      <w:r w:rsidRPr="000E3EC1">
        <w:rPr>
          <w:rFonts w:ascii="Arial" w:hAnsi="Arial" w:cs="Arial"/>
          <w:sz w:val="20"/>
        </w:rPr>
        <w:t>Enfin, l’ANAP accompagne la valorisation du patrimoine d’établissements pour faciliter leur cession. Elle en a produit un premier retour d’expérience :</w:t>
      </w:r>
    </w:p>
    <w:p w:rsidR="00C55086" w:rsidRPr="000E3EC1" w:rsidRDefault="00806099" w:rsidP="0046567D">
      <w:pPr>
        <w:spacing w:after="120" w:line="264" w:lineRule="auto"/>
        <w:jc w:val="both"/>
        <w:rPr>
          <w:rFonts w:ascii="Arial" w:hAnsi="Arial" w:cs="Arial"/>
          <w:i/>
          <w:sz w:val="20"/>
        </w:rPr>
      </w:pPr>
      <w:hyperlink r:id="rId16" w:history="1">
        <w:r w:rsidR="00C55086" w:rsidRPr="000E3EC1">
          <w:rPr>
            <w:rStyle w:val="Lienhypertexte"/>
            <w:rFonts w:ascii="Arial" w:hAnsi="Arial" w:cs="Arial"/>
            <w:i/>
            <w:sz w:val="20"/>
          </w:rPr>
          <w:t>Accès à la présentation générale (synthèse)</w:t>
        </w:r>
      </w:hyperlink>
    </w:p>
    <w:p w:rsidR="00C55086" w:rsidRPr="000E3EC1" w:rsidRDefault="00806099" w:rsidP="0046567D">
      <w:pPr>
        <w:spacing w:after="120" w:line="264" w:lineRule="auto"/>
        <w:jc w:val="both"/>
        <w:rPr>
          <w:rFonts w:ascii="Arial" w:hAnsi="Arial" w:cs="Arial"/>
          <w:i/>
          <w:sz w:val="20"/>
        </w:rPr>
      </w:pPr>
      <w:hyperlink r:id="rId17" w:history="1">
        <w:r w:rsidR="00C55086" w:rsidRPr="000E3EC1">
          <w:rPr>
            <w:rStyle w:val="Lienhypertexte"/>
            <w:rFonts w:ascii="Arial" w:hAnsi="Arial" w:cs="Arial"/>
            <w:i/>
            <w:sz w:val="20"/>
          </w:rPr>
          <w:t>Accès au tome 1 : Principes généraux</w:t>
        </w:r>
      </w:hyperlink>
    </w:p>
    <w:p w:rsidR="00C55086" w:rsidRPr="000E3EC1" w:rsidRDefault="00806099" w:rsidP="0046567D">
      <w:pPr>
        <w:spacing w:after="120" w:line="264" w:lineRule="auto"/>
        <w:jc w:val="both"/>
        <w:rPr>
          <w:rFonts w:ascii="Arial" w:hAnsi="Arial" w:cs="Arial"/>
          <w:i/>
          <w:sz w:val="20"/>
        </w:rPr>
      </w:pPr>
      <w:hyperlink r:id="rId18" w:history="1">
        <w:r w:rsidR="00C55086" w:rsidRPr="000E3EC1">
          <w:rPr>
            <w:rStyle w:val="Lienhypertexte"/>
            <w:rFonts w:ascii="Arial" w:hAnsi="Arial" w:cs="Arial"/>
            <w:i/>
            <w:sz w:val="20"/>
          </w:rPr>
          <w:t>Accès au tome 2 : Mener une étude de reconversion</w:t>
        </w:r>
      </w:hyperlink>
    </w:p>
    <w:p w:rsidR="00C55086" w:rsidRPr="000E3EC1" w:rsidRDefault="00806099" w:rsidP="0046567D">
      <w:pPr>
        <w:spacing w:after="120" w:line="264" w:lineRule="auto"/>
        <w:jc w:val="both"/>
        <w:rPr>
          <w:rFonts w:ascii="Arial" w:hAnsi="Arial" w:cs="Arial"/>
          <w:i/>
          <w:sz w:val="20"/>
        </w:rPr>
      </w:pPr>
      <w:hyperlink r:id="rId19" w:history="1">
        <w:r w:rsidR="00C55086" w:rsidRPr="000E3EC1">
          <w:rPr>
            <w:rStyle w:val="Lienhypertexte"/>
            <w:rFonts w:ascii="Arial" w:hAnsi="Arial" w:cs="Arial"/>
            <w:i/>
            <w:sz w:val="20"/>
          </w:rPr>
          <w:t>Accès au tome 3 : Annexes juridiques et techniques</w:t>
        </w:r>
      </w:hyperlink>
    </w:p>
    <w:p w:rsidR="00C55086" w:rsidRPr="000E3EC1" w:rsidRDefault="00806099" w:rsidP="0046567D">
      <w:pPr>
        <w:spacing w:after="120" w:line="264" w:lineRule="auto"/>
        <w:jc w:val="both"/>
        <w:rPr>
          <w:rFonts w:ascii="Arial" w:hAnsi="Arial" w:cs="Arial"/>
          <w:i/>
          <w:sz w:val="20"/>
        </w:rPr>
      </w:pPr>
      <w:hyperlink r:id="rId20" w:history="1">
        <w:r w:rsidR="00C55086" w:rsidRPr="000E3EC1">
          <w:rPr>
            <w:rStyle w:val="Lienhypertexte"/>
            <w:rFonts w:ascii="Arial" w:hAnsi="Arial" w:cs="Arial"/>
            <w:i/>
            <w:sz w:val="20"/>
          </w:rPr>
          <w:t>Accès à la boîte à outils</w:t>
        </w:r>
      </w:hyperlink>
    </w:p>
    <w:sectPr w:rsidR="00C55086" w:rsidRPr="000E3E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B87" w:rsidRDefault="00920B87" w:rsidP="0046567D">
      <w:pPr>
        <w:spacing w:after="0" w:line="240" w:lineRule="auto"/>
      </w:pPr>
      <w:r>
        <w:separator/>
      </w:r>
    </w:p>
  </w:endnote>
  <w:endnote w:type="continuationSeparator" w:id="0">
    <w:p w:rsidR="00920B87" w:rsidRDefault="00920B87" w:rsidP="0046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B87" w:rsidRDefault="00920B87" w:rsidP="0046567D">
      <w:pPr>
        <w:spacing w:after="0" w:line="240" w:lineRule="auto"/>
      </w:pPr>
      <w:r>
        <w:separator/>
      </w:r>
    </w:p>
  </w:footnote>
  <w:footnote w:type="continuationSeparator" w:id="0">
    <w:p w:rsidR="00920B87" w:rsidRDefault="00920B87" w:rsidP="00465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A08F0"/>
    <w:multiLevelType w:val="hybridMultilevel"/>
    <w:tmpl w:val="8F0AFD22"/>
    <w:lvl w:ilvl="0" w:tplc="D3DC286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3EB36CF"/>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belle Billy">
    <w15:presenceInfo w15:providerId="AD" w15:userId="S-1-5-21-1417001333-1788223648-725345543-17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7A"/>
    <w:rsid w:val="000661E5"/>
    <w:rsid w:val="000E3EC1"/>
    <w:rsid w:val="0010767A"/>
    <w:rsid w:val="00185BF1"/>
    <w:rsid w:val="00223EFB"/>
    <w:rsid w:val="003B0AB7"/>
    <w:rsid w:val="003D651A"/>
    <w:rsid w:val="0046567D"/>
    <w:rsid w:val="004F73CE"/>
    <w:rsid w:val="0056099B"/>
    <w:rsid w:val="00575A1D"/>
    <w:rsid w:val="00725795"/>
    <w:rsid w:val="00785156"/>
    <w:rsid w:val="007A410A"/>
    <w:rsid w:val="00804774"/>
    <w:rsid w:val="00806099"/>
    <w:rsid w:val="00821532"/>
    <w:rsid w:val="008A03BB"/>
    <w:rsid w:val="009177DE"/>
    <w:rsid w:val="00920B87"/>
    <w:rsid w:val="009C53C3"/>
    <w:rsid w:val="009F53FE"/>
    <w:rsid w:val="00AC17DB"/>
    <w:rsid w:val="00B4352B"/>
    <w:rsid w:val="00B7450C"/>
    <w:rsid w:val="00C55086"/>
    <w:rsid w:val="00C754C8"/>
    <w:rsid w:val="00E75E29"/>
    <w:rsid w:val="00EE31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EE318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767A"/>
    <w:pPr>
      <w:ind w:left="720"/>
      <w:contextualSpacing/>
    </w:pPr>
  </w:style>
  <w:style w:type="paragraph" w:styleId="En-tte">
    <w:name w:val="header"/>
    <w:basedOn w:val="Normal"/>
    <w:link w:val="En-tteCar"/>
    <w:uiPriority w:val="99"/>
    <w:unhideWhenUsed/>
    <w:rsid w:val="0046567D"/>
    <w:pPr>
      <w:tabs>
        <w:tab w:val="center" w:pos="4536"/>
        <w:tab w:val="right" w:pos="9072"/>
      </w:tabs>
      <w:spacing w:after="0" w:line="240" w:lineRule="auto"/>
    </w:pPr>
  </w:style>
  <w:style w:type="character" w:customStyle="1" w:styleId="En-tteCar">
    <w:name w:val="En-tête Car"/>
    <w:basedOn w:val="Policepardfaut"/>
    <w:link w:val="En-tte"/>
    <w:uiPriority w:val="99"/>
    <w:rsid w:val="0046567D"/>
  </w:style>
  <w:style w:type="paragraph" w:styleId="Pieddepage">
    <w:name w:val="footer"/>
    <w:basedOn w:val="Normal"/>
    <w:link w:val="PieddepageCar"/>
    <w:uiPriority w:val="99"/>
    <w:unhideWhenUsed/>
    <w:rsid w:val="004656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567D"/>
  </w:style>
  <w:style w:type="character" w:styleId="Lienhypertexte">
    <w:name w:val="Hyperlink"/>
    <w:basedOn w:val="Policepardfaut"/>
    <w:uiPriority w:val="99"/>
    <w:unhideWhenUsed/>
    <w:rsid w:val="000661E5"/>
    <w:rPr>
      <w:color w:val="0563C1" w:themeColor="hyperlink"/>
      <w:u w:val="single"/>
    </w:rPr>
  </w:style>
  <w:style w:type="character" w:customStyle="1" w:styleId="Titre2Car">
    <w:name w:val="Titre 2 Car"/>
    <w:basedOn w:val="Policepardfaut"/>
    <w:link w:val="Titre2"/>
    <w:uiPriority w:val="9"/>
    <w:rsid w:val="00EE3181"/>
    <w:rPr>
      <w:rFonts w:ascii="Times New Roman" w:eastAsia="Times New Roman" w:hAnsi="Times New Roman" w:cs="Times New Roman"/>
      <w:b/>
      <w:bCs/>
      <w:sz w:val="36"/>
      <w:szCs w:val="36"/>
      <w:lang w:eastAsia="fr-FR"/>
    </w:rPr>
  </w:style>
  <w:style w:type="paragraph" w:customStyle="1" w:styleId="bodytext">
    <w:name w:val="bodytext"/>
    <w:basedOn w:val="Normal"/>
    <w:rsid w:val="00EE318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E3181"/>
    <w:rPr>
      <w:color w:val="954F72" w:themeColor="followedHyperlink"/>
      <w:u w:val="single"/>
    </w:rPr>
  </w:style>
  <w:style w:type="paragraph" w:styleId="Textedebulles">
    <w:name w:val="Balloon Text"/>
    <w:basedOn w:val="Normal"/>
    <w:link w:val="TextedebullesCar"/>
    <w:uiPriority w:val="99"/>
    <w:semiHidden/>
    <w:unhideWhenUsed/>
    <w:rsid w:val="000E3E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3E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EE318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767A"/>
    <w:pPr>
      <w:ind w:left="720"/>
      <w:contextualSpacing/>
    </w:pPr>
  </w:style>
  <w:style w:type="paragraph" w:styleId="En-tte">
    <w:name w:val="header"/>
    <w:basedOn w:val="Normal"/>
    <w:link w:val="En-tteCar"/>
    <w:uiPriority w:val="99"/>
    <w:unhideWhenUsed/>
    <w:rsid w:val="0046567D"/>
    <w:pPr>
      <w:tabs>
        <w:tab w:val="center" w:pos="4536"/>
        <w:tab w:val="right" w:pos="9072"/>
      </w:tabs>
      <w:spacing w:after="0" w:line="240" w:lineRule="auto"/>
    </w:pPr>
  </w:style>
  <w:style w:type="character" w:customStyle="1" w:styleId="En-tteCar">
    <w:name w:val="En-tête Car"/>
    <w:basedOn w:val="Policepardfaut"/>
    <w:link w:val="En-tte"/>
    <w:uiPriority w:val="99"/>
    <w:rsid w:val="0046567D"/>
  </w:style>
  <w:style w:type="paragraph" w:styleId="Pieddepage">
    <w:name w:val="footer"/>
    <w:basedOn w:val="Normal"/>
    <w:link w:val="PieddepageCar"/>
    <w:uiPriority w:val="99"/>
    <w:unhideWhenUsed/>
    <w:rsid w:val="004656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567D"/>
  </w:style>
  <w:style w:type="character" w:styleId="Lienhypertexte">
    <w:name w:val="Hyperlink"/>
    <w:basedOn w:val="Policepardfaut"/>
    <w:uiPriority w:val="99"/>
    <w:unhideWhenUsed/>
    <w:rsid w:val="000661E5"/>
    <w:rPr>
      <w:color w:val="0563C1" w:themeColor="hyperlink"/>
      <w:u w:val="single"/>
    </w:rPr>
  </w:style>
  <w:style w:type="character" w:customStyle="1" w:styleId="Titre2Car">
    <w:name w:val="Titre 2 Car"/>
    <w:basedOn w:val="Policepardfaut"/>
    <w:link w:val="Titre2"/>
    <w:uiPriority w:val="9"/>
    <w:rsid w:val="00EE3181"/>
    <w:rPr>
      <w:rFonts w:ascii="Times New Roman" w:eastAsia="Times New Roman" w:hAnsi="Times New Roman" w:cs="Times New Roman"/>
      <w:b/>
      <w:bCs/>
      <w:sz w:val="36"/>
      <w:szCs w:val="36"/>
      <w:lang w:eastAsia="fr-FR"/>
    </w:rPr>
  </w:style>
  <w:style w:type="paragraph" w:customStyle="1" w:styleId="bodytext">
    <w:name w:val="bodytext"/>
    <w:basedOn w:val="Normal"/>
    <w:rsid w:val="00EE318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E3181"/>
    <w:rPr>
      <w:color w:val="954F72" w:themeColor="followedHyperlink"/>
      <w:u w:val="single"/>
    </w:rPr>
  </w:style>
  <w:style w:type="paragraph" w:styleId="Textedebulles">
    <w:name w:val="Balloon Text"/>
    <w:basedOn w:val="Normal"/>
    <w:link w:val="TextedebullesCar"/>
    <w:uiPriority w:val="99"/>
    <w:semiHidden/>
    <w:unhideWhenUsed/>
    <w:rsid w:val="000E3E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3E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371953">
      <w:bodyDiv w:val="1"/>
      <w:marLeft w:val="0"/>
      <w:marRight w:val="0"/>
      <w:marTop w:val="0"/>
      <w:marBottom w:val="0"/>
      <w:divBdr>
        <w:top w:val="none" w:sz="0" w:space="0" w:color="auto"/>
        <w:left w:val="none" w:sz="0" w:space="0" w:color="auto"/>
        <w:bottom w:val="none" w:sz="0" w:space="0" w:color="auto"/>
        <w:right w:val="none" w:sz="0" w:space="0" w:color="auto"/>
      </w:divBdr>
    </w:div>
    <w:div w:id="171773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nap.fr/publications-et-outils/publications/detail/actualites/reperes-organisationnels-et-de-dimensionnement-en-surface-en-ehpad/" TargetMode="External"/><Relationship Id="rId18" Type="http://schemas.openxmlformats.org/officeDocument/2006/relationships/hyperlink" Target="http://www.anap.fr/publications-et-outils/detail/actualites/dynamisation-des-actifs-immobiliers-des-etablissements-sanitaires-et-medico-sociaux-tome-2-mener-une-etude-de-reconvers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oscimes.fr/" TargetMode="External"/><Relationship Id="rId17" Type="http://schemas.openxmlformats.org/officeDocument/2006/relationships/hyperlink" Target="http://www.anap.fr/publications-et-outils/publications/detail/actualites/dynamisation-des-actifs-immobiliers-des-etablissements-sanitaires-et-medico-sociaux-tome-1-principes-generaux/" TargetMode="External"/><Relationship Id="rId2" Type="http://schemas.openxmlformats.org/officeDocument/2006/relationships/numbering" Target="numbering.xml"/><Relationship Id="rId16" Type="http://schemas.openxmlformats.org/officeDocument/2006/relationships/hyperlink" Target="http://www.anap.fr/publications-et-outils/detail/actualites/zoom-sur-valoriser-pour-mieux-ceder-son-patrimoine-immobilier/" TargetMode="External"/><Relationship Id="rId20" Type="http://schemas.openxmlformats.org/officeDocument/2006/relationships/hyperlink" Target="http://www.anap.fr/publications-et-outils/outils/detail/actualites/dynamisation-des-actifs-immobiliers-des-etablissements-sanitaires-et-medico-sociaux-boite-a-outi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ap.fr/publications-et-outils/outils/detail/actualites/organiser-la-maintenance-immobiliere-et-le-gros-entretien-renouvellement-horizons-maintenance-gamme-doutils/" TargetMode="External"/><Relationship Id="rId5" Type="http://schemas.openxmlformats.org/officeDocument/2006/relationships/settings" Target="settings.xml"/><Relationship Id="rId15" Type="http://schemas.openxmlformats.org/officeDocument/2006/relationships/hyperlink" Target="http://www.anap.fr/publications-et-outils/publications/detail/actualites/zoom-sur-impact-dun-investissement-sur-le-prix-de-journee-en-ehpad/" TargetMode="External"/><Relationship Id="rId23" Type="http://schemas.microsoft.com/office/2011/relationships/people" Target="people.xml"/><Relationship Id="rId10" Type="http://schemas.openxmlformats.org/officeDocument/2006/relationships/hyperlink" Target="http://www.anap.fr/publications-et-outils/publications/detail/actualites/organiser-la-maintenance-immobiliere-et-le-gros-entretien-renouvellement-horizons-maintenance-demarche-et-outils/" TargetMode="External"/><Relationship Id="rId19" Type="http://schemas.openxmlformats.org/officeDocument/2006/relationships/hyperlink" Target="http://www.anap.fr/publications-et-outils/publications/detail/actualites/dynamisation-des-actifs-immobiliers-des-etablissements-sanitaires-et-medico-sociaux-tome-3-annexes-juridiques-et-techniques/" TargetMode="External"/><Relationship Id="rId4" Type="http://schemas.microsoft.com/office/2007/relationships/stylesWithEffects" Target="stylesWithEffects.xml"/><Relationship Id="rId9" Type="http://schemas.openxmlformats.org/officeDocument/2006/relationships/hyperlink" Target="https://tdb-esms.atih.sante.fr/" TargetMode="External"/><Relationship Id="rId14" Type="http://schemas.openxmlformats.org/officeDocument/2006/relationships/hyperlink" Target="http://www.anap.fr/publications-et-outils/outils/detail/actualites/outil-de-simulation-de-limpact-dun-investissement-sur-le-prix-de-journee-en-ehpad/"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D1346-3EA1-4892-B4A0-23F33EA9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1036</Words>
  <Characters>5700</Characters>
  <Application>Microsoft Office Word</Application>
  <DocSecurity>4</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Tonnès</dc:creator>
  <cp:lastModifiedBy>CNSA</cp:lastModifiedBy>
  <cp:revision>2</cp:revision>
  <cp:lastPrinted>2017-02-13T16:27:00Z</cp:lastPrinted>
  <dcterms:created xsi:type="dcterms:W3CDTF">2017-02-13T16:30:00Z</dcterms:created>
  <dcterms:modified xsi:type="dcterms:W3CDTF">2017-02-13T16:30:00Z</dcterms:modified>
</cp:coreProperties>
</file>