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3ADB3" w14:textId="77777777" w:rsidR="00191A8F" w:rsidRDefault="00191A8F" w:rsidP="000B473A">
      <w:pPr>
        <w:pStyle w:val="Corpsdetexte"/>
        <w:jc w:val="both"/>
        <w:rPr>
          <w:rFonts w:ascii="Marianne" w:hAnsi="Marianne"/>
          <w:b/>
          <w:sz w:val="28"/>
          <w:szCs w:val="22"/>
        </w:rPr>
      </w:pPr>
    </w:p>
    <w:p w14:paraId="52CB9B98" w14:textId="77777777" w:rsidR="00191A8F" w:rsidRDefault="00000000">
      <w:pPr>
        <w:pStyle w:val="Corpsdetexte"/>
        <w:jc w:val="center"/>
        <w:rPr>
          <w:rFonts w:ascii="Marianne" w:hAnsi="Marianne"/>
          <w:b/>
          <w:sz w:val="28"/>
          <w:szCs w:val="22"/>
        </w:rPr>
      </w:pPr>
      <w:r>
        <w:rPr>
          <w:rFonts w:ascii="Marianne" w:hAnsi="Marianne"/>
          <w:b/>
          <w:sz w:val="28"/>
          <w:szCs w:val="22"/>
        </w:rPr>
        <w:t>AAP CPE GLOBAUX 2025</w:t>
      </w:r>
    </w:p>
    <w:p w14:paraId="681D01E3" w14:textId="77777777" w:rsidR="00191A8F" w:rsidRDefault="00000000">
      <w:pPr>
        <w:pStyle w:val="Corpsdetexte"/>
        <w:jc w:val="center"/>
        <w:rPr>
          <w:rFonts w:ascii="Marianne" w:hAnsi="Marianne"/>
          <w:b/>
          <w:sz w:val="28"/>
          <w:szCs w:val="22"/>
        </w:rPr>
      </w:pPr>
      <w:r>
        <w:rPr>
          <w:rFonts w:ascii="Marianne" w:hAnsi="Marianne"/>
          <w:b/>
          <w:sz w:val="28"/>
          <w:szCs w:val="22"/>
        </w:rPr>
        <w:t>Région PACA &amp; IDF</w:t>
      </w:r>
    </w:p>
    <w:p w14:paraId="3BDE6258" w14:textId="77777777" w:rsidR="00191A8F" w:rsidRDefault="00000000">
      <w:pPr>
        <w:pStyle w:val="Corpsdetexte"/>
        <w:jc w:val="center"/>
        <w:rPr>
          <w:rFonts w:ascii="Marianne" w:hAnsi="Marianne"/>
          <w:b/>
          <w:sz w:val="28"/>
          <w:szCs w:val="22"/>
        </w:rPr>
      </w:pPr>
      <w:r>
        <w:rPr>
          <w:rFonts w:ascii="Marianne" w:hAnsi="Marianne"/>
          <w:b/>
          <w:sz w:val="28"/>
          <w:szCs w:val="22"/>
        </w:rPr>
        <w:t>Vague 1</w:t>
      </w:r>
    </w:p>
    <w:p w14:paraId="5D6F8DA1" w14:textId="77777777" w:rsidR="00191A8F" w:rsidRDefault="00191A8F" w:rsidP="000B473A">
      <w:pPr>
        <w:pStyle w:val="Corpsdetexte"/>
        <w:jc w:val="both"/>
        <w:rPr>
          <w:rFonts w:ascii="Marianne" w:hAnsi="Marianne"/>
          <w:b/>
          <w:sz w:val="28"/>
          <w:szCs w:val="22"/>
        </w:rPr>
      </w:pPr>
    </w:p>
    <w:p w14:paraId="1B993427" w14:textId="77777777" w:rsidR="00191A8F" w:rsidRDefault="00191A8F" w:rsidP="000B473A">
      <w:pPr>
        <w:pStyle w:val="Corpsdetexte"/>
        <w:jc w:val="both"/>
        <w:rPr>
          <w:rFonts w:ascii="Marianne" w:hAnsi="Marianne"/>
          <w:b/>
          <w:sz w:val="28"/>
          <w:szCs w:val="22"/>
        </w:rPr>
      </w:pPr>
    </w:p>
    <w:p w14:paraId="5F728DC3" w14:textId="77777777" w:rsidR="00191A8F" w:rsidRDefault="00191A8F" w:rsidP="000B473A">
      <w:pPr>
        <w:pStyle w:val="Corpsdetexte"/>
        <w:jc w:val="both"/>
        <w:rPr>
          <w:rFonts w:ascii="Marianne" w:hAnsi="Marianne"/>
          <w:b/>
          <w:sz w:val="28"/>
          <w:szCs w:val="22"/>
        </w:rPr>
      </w:pPr>
    </w:p>
    <w:p w14:paraId="48B56AA0" w14:textId="77777777" w:rsidR="00191A8F" w:rsidRDefault="00191A8F" w:rsidP="000B473A">
      <w:pPr>
        <w:pStyle w:val="Corpsdetexte"/>
        <w:jc w:val="both"/>
        <w:rPr>
          <w:rFonts w:ascii="Marianne" w:hAnsi="Marianne"/>
          <w:b/>
          <w:sz w:val="28"/>
          <w:szCs w:val="22"/>
        </w:rPr>
      </w:pPr>
    </w:p>
    <w:p w14:paraId="72C84E78" w14:textId="77777777" w:rsidR="00191A8F" w:rsidRDefault="00191A8F" w:rsidP="000B473A">
      <w:pPr>
        <w:pStyle w:val="Corpsdetexte"/>
        <w:jc w:val="both"/>
        <w:rPr>
          <w:rFonts w:ascii="Marianne" w:hAnsi="Marianne"/>
          <w:b/>
          <w:sz w:val="28"/>
          <w:szCs w:val="22"/>
        </w:rPr>
      </w:pPr>
    </w:p>
    <w:p w14:paraId="09774357" w14:textId="77777777" w:rsidR="00191A8F" w:rsidRDefault="00191A8F" w:rsidP="000B473A">
      <w:pPr>
        <w:pStyle w:val="Corpsdetexte"/>
        <w:jc w:val="both"/>
        <w:rPr>
          <w:rFonts w:ascii="Marianne" w:hAnsi="Marianne"/>
          <w:b/>
          <w:sz w:val="28"/>
          <w:szCs w:val="22"/>
        </w:rPr>
      </w:pPr>
    </w:p>
    <w:p w14:paraId="3F5F09E4" w14:textId="77777777" w:rsidR="00191A8F" w:rsidRDefault="00191A8F" w:rsidP="000B473A">
      <w:pPr>
        <w:pStyle w:val="Corpsdetexte"/>
        <w:jc w:val="both"/>
        <w:rPr>
          <w:rFonts w:ascii="Marianne" w:hAnsi="Marianne"/>
          <w:b/>
          <w:sz w:val="28"/>
          <w:szCs w:val="22"/>
        </w:rPr>
      </w:pPr>
    </w:p>
    <w:p w14:paraId="3C0B4CE4" w14:textId="77777777" w:rsidR="00191A8F" w:rsidRDefault="00191A8F" w:rsidP="000B473A">
      <w:pPr>
        <w:pStyle w:val="Corpsdetexte"/>
        <w:jc w:val="both"/>
        <w:rPr>
          <w:rFonts w:ascii="Marianne" w:hAnsi="Marianne"/>
          <w:b/>
          <w:sz w:val="28"/>
          <w:szCs w:val="22"/>
        </w:rPr>
      </w:pPr>
    </w:p>
    <w:p w14:paraId="1891913C" w14:textId="77777777" w:rsidR="00191A8F" w:rsidRDefault="00191A8F" w:rsidP="000B473A">
      <w:pPr>
        <w:pStyle w:val="Corpsdetexte"/>
        <w:jc w:val="both"/>
        <w:rPr>
          <w:rFonts w:ascii="Marianne" w:hAnsi="Marianne"/>
          <w:b/>
          <w:sz w:val="28"/>
          <w:szCs w:val="22"/>
        </w:rPr>
      </w:pPr>
    </w:p>
    <w:sdt>
      <w:sdtPr>
        <w:rPr>
          <w:rFonts w:asciiTheme="minorHAnsi" w:eastAsiaTheme="minorHAnsi" w:hAnsiTheme="minorHAnsi" w:cstheme="minorBidi"/>
          <w:color w:val="auto"/>
          <w:sz w:val="22"/>
          <w:szCs w:val="22"/>
          <w:lang w:eastAsia="en-US"/>
        </w:rPr>
        <w:id w:val="1975711207"/>
        <w:docPartObj>
          <w:docPartGallery w:val="Table of Contents"/>
          <w:docPartUnique/>
        </w:docPartObj>
      </w:sdtPr>
      <w:sdtContent>
        <w:p w14:paraId="237D6C70" w14:textId="77777777" w:rsidR="00191A8F" w:rsidRDefault="00000000" w:rsidP="000B473A">
          <w:pPr>
            <w:pStyle w:val="En-ttedetabledesmatires"/>
            <w:jc w:val="both"/>
          </w:pPr>
          <w:r>
            <w:t>Table des matières</w:t>
          </w:r>
        </w:p>
        <w:p w14:paraId="1DB5BCA9" w14:textId="77777777" w:rsidR="000B473A" w:rsidRDefault="00000000">
          <w:pPr>
            <w:pStyle w:val="TM1"/>
            <w:tabs>
              <w:tab w:val="left" w:pos="440"/>
              <w:tab w:val="right" w:leader="dot" w:pos="9062"/>
            </w:tabs>
            <w:rPr>
              <w:rFonts w:eastAsiaTheme="minorEastAsia"/>
              <w:noProof/>
              <w:kern w:val="2"/>
              <w:sz w:val="24"/>
              <w:szCs w:val="24"/>
              <w:lang w:eastAsia="fr-FR"/>
              <w14:ligatures w14:val="standardContextual"/>
            </w:rPr>
          </w:pPr>
          <w:r>
            <w:fldChar w:fldCharType="begin"/>
          </w:r>
          <w:r>
            <w:instrText xml:space="preserve"> TOC \o "1-3" \h \z \u </w:instrText>
          </w:r>
          <w:r>
            <w:fldChar w:fldCharType="separate"/>
          </w:r>
          <w:hyperlink w:anchor="_Toc200645436" w:history="1">
            <w:r w:rsidR="000B473A" w:rsidRPr="00C7040A">
              <w:rPr>
                <w:rStyle w:val="Lienhypertexte"/>
                <w:rFonts w:ascii="Marianne" w:hAnsi="Marianne" w:cstheme="minorHAnsi"/>
                <w:noProof/>
              </w:rPr>
              <w:t>1-</w:t>
            </w:r>
            <w:r w:rsidR="000B473A">
              <w:rPr>
                <w:rFonts w:eastAsiaTheme="minorEastAsia"/>
                <w:noProof/>
                <w:kern w:val="2"/>
                <w:sz w:val="24"/>
                <w:szCs w:val="24"/>
                <w:lang w:eastAsia="fr-FR"/>
                <w14:ligatures w14:val="standardContextual"/>
              </w:rPr>
              <w:tab/>
            </w:r>
            <w:r w:rsidR="000B473A" w:rsidRPr="00C7040A">
              <w:rPr>
                <w:rStyle w:val="Lienhypertexte"/>
                <w:rFonts w:ascii="Marianne" w:hAnsi="Marianne" w:cstheme="minorHAnsi"/>
                <w:noProof/>
              </w:rPr>
              <w:t>Contexte et objectifs de l’appel à projets</w:t>
            </w:r>
            <w:r w:rsidR="000B473A">
              <w:rPr>
                <w:noProof/>
                <w:webHidden/>
              </w:rPr>
              <w:tab/>
            </w:r>
            <w:r w:rsidR="000B473A">
              <w:rPr>
                <w:noProof/>
                <w:webHidden/>
              </w:rPr>
              <w:fldChar w:fldCharType="begin"/>
            </w:r>
            <w:r w:rsidR="000B473A">
              <w:rPr>
                <w:noProof/>
                <w:webHidden/>
              </w:rPr>
              <w:instrText xml:space="preserve"> PAGEREF _Toc200645436 \h </w:instrText>
            </w:r>
            <w:r w:rsidR="000B473A">
              <w:rPr>
                <w:noProof/>
                <w:webHidden/>
              </w:rPr>
            </w:r>
            <w:r w:rsidR="000B473A">
              <w:rPr>
                <w:noProof/>
                <w:webHidden/>
              </w:rPr>
              <w:fldChar w:fldCharType="separate"/>
            </w:r>
            <w:r w:rsidR="000B473A">
              <w:rPr>
                <w:noProof/>
                <w:webHidden/>
              </w:rPr>
              <w:t>2</w:t>
            </w:r>
            <w:r w:rsidR="000B473A">
              <w:rPr>
                <w:noProof/>
                <w:webHidden/>
              </w:rPr>
              <w:fldChar w:fldCharType="end"/>
            </w:r>
          </w:hyperlink>
        </w:p>
        <w:p w14:paraId="60136D2B" w14:textId="77777777" w:rsidR="000B473A" w:rsidRDefault="00000000">
          <w:pPr>
            <w:pStyle w:val="TM2"/>
            <w:tabs>
              <w:tab w:val="right" w:leader="dot" w:pos="9062"/>
            </w:tabs>
            <w:rPr>
              <w:rFonts w:eastAsiaTheme="minorEastAsia"/>
              <w:noProof/>
              <w:kern w:val="2"/>
              <w:sz w:val="24"/>
              <w:szCs w:val="24"/>
              <w:lang w:eastAsia="fr-FR"/>
              <w14:ligatures w14:val="standardContextual"/>
            </w:rPr>
          </w:pPr>
          <w:hyperlink w:anchor="_Toc200645437" w:history="1">
            <w:r w:rsidR="000B473A" w:rsidRPr="00C7040A">
              <w:rPr>
                <w:rStyle w:val="Lienhypertexte"/>
                <w:rFonts w:ascii="Marianne" w:hAnsi="Marianne" w:cstheme="minorHAnsi"/>
                <w:noProof/>
              </w:rPr>
              <w:t>1.1- Contexte</w:t>
            </w:r>
            <w:r w:rsidR="000B473A">
              <w:rPr>
                <w:noProof/>
                <w:webHidden/>
              </w:rPr>
              <w:tab/>
            </w:r>
            <w:r w:rsidR="000B473A">
              <w:rPr>
                <w:noProof/>
                <w:webHidden/>
              </w:rPr>
              <w:fldChar w:fldCharType="begin"/>
            </w:r>
            <w:r w:rsidR="000B473A">
              <w:rPr>
                <w:noProof/>
                <w:webHidden/>
              </w:rPr>
              <w:instrText xml:space="preserve"> PAGEREF _Toc200645437 \h </w:instrText>
            </w:r>
            <w:r w:rsidR="000B473A">
              <w:rPr>
                <w:noProof/>
                <w:webHidden/>
              </w:rPr>
            </w:r>
            <w:r w:rsidR="000B473A">
              <w:rPr>
                <w:noProof/>
                <w:webHidden/>
              </w:rPr>
              <w:fldChar w:fldCharType="separate"/>
            </w:r>
            <w:r w:rsidR="000B473A">
              <w:rPr>
                <w:noProof/>
                <w:webHidden/>
              </w:rPr>
              <w:t>2</w:t>
            </w:r>
            <w:r w:rsidR="000B473A">
              <w:rPr>
                <w:noProof/>
                <w:webHidden/>
              </w:rPr>
              <w:fldChar w:fldCharType="end"/>
            </w:r>
          </w:hyperlink>
        </w:p>
        <w:p w14:paraId="644FF94A" w14:textId="77777777" w:rsidR="000B473A" w:rsidRDefault="00000000">
          <w:pPr>
            <w:pStyle w:val="TM2"/>
            <w:tabs>
              <w:tab w:val="right" w:leader="dot" w:pos="9062"/>
            </w:tabs>
            <w:rPr>
              <w:rFonts w:eastAsiaTheme="minorEastAsia"/>
              <w:noProof/>
              <w:kern w:val="2"/>
              <w:sz w:val="24"/>
              <w:szCs w:val="24"/>
              <w:lang w:eastAsia="fr-FR"/>
              <w14:ligatures w14:val="standardContextual"/>
            </w:rPr>
          </w:pPr>
          <w:hyperlink w:anchor="_Toc200645438" w:history="1">
            <w:r w:rsidR="000B473A" w:rsidRPr="00C7040A">
              <w:rPr>
                <w:rStyle w:val="Lienhypertexte"/>
                <w:rFonts w:ascii="Marianne" w:hAnsi="Marianne" w:cstheme="minorHAnsi"/>
                <w:noProof/>
              </w:rPr>
              <w:t>1.2- Le Contrat de Performance Énergétique</w:t>
            </w:r>
            <w:r w:rsidR="000B473A">
              <w:rPr>
                <w:noProof/>
                <w:webHidden/>
              </w:rPr>
              <w:tab/>
            </w:r>
            <w:r w:rsidR="000B473A">
              <w:rPr>
                <w:noProof/>
                <w:webHidden/>
              </w:rPr>
              <w:fldChar w:fldCharType="begin"/>
            </w:r>
            <w:r w:rsidR="000B473A">
              <w:rPr>
                <w:noProof/>
                <w:webHidden/>
              </w:rPr>
              <w:instrText xml:space="preserve"> PAGEREF _Toc200645438 \h </w:instrText>
            </w:r>
            <w:r w:rsidR="000B473A">
              <w:rPr>
                <w:noProof/>
                <w:webHidden/>
              </w:rPr>
            </w:r>
            <w:r w:rsidR="000B473A">
              <w:rPr>
                <w:noProof/>
                <w:webHidden/>
              </w:rPr>
              <w:fldChar w:fldCharType="separate"/>
            </w:r>
            <w:r w:rsidR="000B473A">
              <w:rPr>
                <w:noProof/>
                <w:webHidden/>
              </w:rPr>
              <w:t>3</w:t>
            </w:r>
            <w:r w:rsidR="000B473A">
              <w:rPr>
                <w:noProof/>
                <w:webHidden/>
              </w:rPr>
              <w:fldChar w:fldCharType="end"/>
            </w:r>
          </w:hyperlink>
        </w:p>
        <w:p w14:paraId="6B1B7096" w14:textId="77777777" w:rsidR="000B473A" w:rsidRDefault="00000000">
          <w:pPr>
            <w:pStyle w:val="TM2"/>
            <w:tabs>
              <w:tab w:val="right" w:leader="dot" w:pos="9062"/>
            </w:tabs>
            <w:rPr>
              <w:rFonts w:eastAsiaTheme="minorEastAsia"/>
              <w:noProof/>
              <w:kern w:val="2"/>
              <w:sz w:val="24"/>
              <w:szCs w:val="24"/>
              <w:lang w:eastAsia="fr-FR"/>
              <w14:ligatures w14:val="standardContextual"/>
            </w:rPr>
          </w:pPr>
          <w:hyperlink w:anchor="_Toc200645439" w:history="1">
            <w:r w:rsidR="000B473A" w:rsidRPr="00C7040A">
              <w:rPr>
                <w:rStyle w:val="Lienhypertexte"/>
                <w:rFonts w:ascii="Marianne" w:hAnsi="Marianne" w:cstheme="minorHAnsi"/>
                <w:noProof/>
              </w:rPr>
              <w:t>1.3- Objectifs de l’Appel à projet</w:t>
            </w:r>
            <w:r w:rsidR="000B473A">
              <w:rPr>
                <w:noProof/>
                <w:webHidden/>
              </w:rPr>
              <w:tab/>
            </w:r>
            <w:r w:rsidR="000B473A">
              <w:rPr>
                <w:noProof/>
                <w:webHidden/>
              </w:rPr>
              <w:fldChar w:fldCharType="begin"/>
            </w:r>
            <w:r w:rsidR="000B473A">
              <w:rPr>
                <w:noProof/>
                <w:webHidden/>
              </w:rPr>
              <w:instrText xml:space="preserve"> PAGEREF _Toc200645439 \h </w:instrText>
            </w:r>
            <w:r w:rsidR="000B473A">
              <w:rPr>
                <w:noProof/>
                <w:webHidden/>
              </w:rPr>
            </w:r>
            <w:r w:rsidR="000B473A">
              <w:rPr>
                <w:noProof/>
                <w:webHidden/>
              </w:rPr>
              <w:fldChar w:fldCharType="separate"/>
            </w:r>
            <w:r w:rsidR="000B473A">
              <w:rPr>
                <w:noProof/>
                <w:webHidden/>
              </w:rPr>
              <w:t>4</w:t>
            </w:r>
            <w:r w:rsidR="000B473A">
              <w:rPr>
                <w:noProof/>
                <w:webHidden/>
              </w:rPr>
              <w:fldChar w:fldCharType="end"/>
            </w:r>
          </w:hyperlink>
        </w:p>
        <w:p w14:paraId="16BB0921" w14:textId="77777777" w:rsidR="000B473A" w:rsidRDefault="00000000">
          <w:pPr>
            <w:pStyle w:val="TM1"/>
            <w:tabs>
              <w:tab w:val="left" w:pos="660"/>
              <w:tab w:val="right" w:leader="dot" w:pos="9062"/>
            </w:tabs>
            <w:rPr>
              <w:rFonts w:eastAsiaTheme="minorEastAsia"/>
              <w:noProof/>
              <w:kern w:val="2"/>
              <w:sz w:val="24"/>
              <w:szCs w:val="24"/>
              <w:lang w:eastAsia="fr-FR"/>
              <w14:ligatures w14:val="standardContextual"/>
            </w:rPr>
          </w:pPr>
          <w:hyperlink w:anchor="_Toc200645440" w:history="1">
            <w:r w:rsidR="000B473A" w:rsidRPr="00C7040A">
              <w:rPr>
                <w:rStyle w:val="Lienhypertexte"/>
                <w:rFonts w:ascii="Marianne" w:hAnsi="Marianne" w:cstheme="minorHAnsi"/>
                <w:noProof/>
              </w:rPr>
              <w:t>2-</w:t>
            </w:r>
            <w:r w:rsidR="000B473A">
              <w:rPr>
                <w:rFonts w:eastAsiaTheme="minorEastAsia"/>
                <w:noProof/>
                <w:kern w:val="2"/>
                <w:sz w:val="24"/>
                <w:szCs w:val="24"/>
                <w:lang w:eastAsia="fr-FR"/>
                <w14:ligatures w14:val="standardContextual"/>
              </w:rPr>
              <w:tab/>
            </w:r>
            <w:r w:rsidR="000B473A" w:rsidRPr="00C7040A">
              <w:rPr>
                <w:rStyle w:val="Lienhypertexte"/>
                <w:rFonts w:ascii="Marianne" w:hAnsi="Marianne" w:cstheme="minorHAnsi"/>
                <w:noProof/>
              </w:rPr>
              <w:t>Cahier des charges</w:t>
            </w:r>
            <w:r w:rsidR="000B473A">
              <w:rPr>
                <w:noProof/>
                <w:webHidden/>
              </w:rPr>
              <w:tab/>
            </w:r>
            <w:r w:rsidR="000B473A">
              <w:rPr>
                <w:noProof/>
                <w:webHidden/>
              </w:rPr>
              <w:fldChar w:fldCharType="begin"/>
            </w:r>
            <w:r w:rsidR="000B473A">
              <w:rPr>
                <w:noProof/>
                <w:webHidden/>
              </w:rPr>
              <w:instrText xml:space="preserve"> PAGEREF _Toc200645440 \h </w:instrText>
            </w:r>
            <w:r w:rsidR="000B473A">
              <w:rPr>
                <w:noProof/>
                <w:webHidden/>
              </w:rPr>
            </w:r>
            <w:r w:rsidR="000B473A">
              <w:rPr>
                <w:noProof/>
                <w:webHidden/>
              </w:rPr>
              <w:fldChar w:fldCharType="separate"/>
            </w:r>
            <w:r w:rsidR="000B473A">
              <w:rPr>
                <w:noProof/>
                <w:webHidden/>
              </w:rPr>
              <w:t>4</w:t>
            </w:r>
            <w:r w:rsidR="000B473A">
              <w:rPr>
                <w:noProof/>
                <w:webHidden/>
              </w:rPr>
              <w:fldChar w:fldCharType="end"/>
            </w:r>
          </w:hyperlink>
        </w:p>
        <w:p w14:paraId="2059FA5A" w14:textId="77777777" w:rsidR="000B473A" w:rsidRDefault="00000000">
          <w:pPr>
            <w:pStyle w:val="TM1"/>
            <w:tabs>
              <w:tab w:val="left" w:pos="660"/>
              <w:tab w:val="right" w:leader="dot" w:pos="9062"/>
            </w:tabs>
            <w:rPr>
              <w:rFonts w:eastAsiaTheme="minorEastAsia"/>
              <w:noProof/>
              <w:kern w:val="2"/>
              <w:sz w:val="24"/>
              <w:szCs w:val="24"/>
              <w:lang w:eastAsia="fr-FR"/>
              <w14:ligatures w14:val="standardContextual"/>
            </w:rPr>
          </w:pPr>
          <w:hyperlink w:anchor="_Toc200645441" w:history="1">
            <w:r w:rsidR="000B473A" w:rsidRPr="00C7040A">
              <w:rPr>
                <w:rStyle w:val="Lienhypertexte"/>
                <w:rFonts w:ascii="Marianne" w:hAnsi="Marianne" w:cstheme="minorHAnsi"/>
                <w:noProof/>
              </w:rPr>
              <w:t>3-</w:t>
            </w:r>
            <w:r w:rsidR="000B473A">
              <w:rPr>
                <w:rFonts w:eastAsiaTheme="minorEastAsia"/>
                <w:noProof/>
                <w:kern w:val="2"/>
                <w:sz w:val="24"/>
                <w:szCs w:val="24"/>
                <w:lang w:eastAsia="fr-FR"/>
                <w14:ligatures w14:val="standardContextual"/>
              </w:rPr>
              <w:tab/>
            </w:r>
            <w:r w:rsidR="000B473A" w:rsidRPr="00C7040A">
              <w:rPr>
                <w:rStyle w:val="Lienhypertexte"/>
                <w:rFonts w:ascii="Marianne" w:hAnsi="Marianne" w:cstheme="minorHAnsi"/>
                <w:noProof/>
              </w:rPr>
              <w:t>Modalités de participation</w:t>
            </w:r>
            <w:r w:rsidR="000B473A">
              <w:rPr>
                <w:noProof/>
                <w:webHidden/>
              </w:rPr>
              <w:tab/>
            </w:r>
            <w:r w:rsidR="000B473A">
              <w:rPr>
                <w:noProof/>
                <w:webHidden/>
              </w:rPr>
              <w:fldChar w:fldCharType="begin"/>
            </w:r>
            <w:r w:rsidR="000B473A">
              <w:rPr>
                <w:noProof/>
                <w:webHidden/>
              </w:rPr>
              <w:instrText xml:space="preserve"> PAGEREF _Toc200645441 \h </w:instrText>
            </w:r>
            <w:r w:rsidR="000B473A">
              <w:rPr>
                <w:noProof/>
                <w:webHidden/>
              </w:rPr>
            </w:r>
            <w:r w:rsidR="000B473A">
              <w:rPr>
                <w:noProof/>
                <w:webHidden/>
              </w:rPr>
              <w:fldChar w:fldCharType="separate"/>
            </w:r>
            <w:r w:rsidR="000B473A">
              <w:rPr>
                <w:noProof/>
                <w:webHidden/>
              </w:rPr>
              <w:t>5</w:t>
            </w:r>
            <w:r w:rsidR="000B473A">
              <w:rPr>
                <w:noProof/>
                <w:webHidden/>
              </w:rPr>
              <w:fldChar w:fldCharType="end"/>
            </w:r>
          </w:hyperlink>
        </w:p>
        <w:p w14:paraId="36E60D7C" w14:textId="77777777" w:rsidR="000B473A" w:rsidRDefault="00000000">
          <w:pPr>
            <w:pStyle w:val="TM1"/>
            <w:tabs>
              <w:tab w:val="left" w:pos="660"/>
              <w:tab w:val="right" w:leader="dot" w:pos="9062"/>
            </w:tabs>
            <w:rPr>
              <w:rFonts w:eastAsiaTheme="minorEastAsia"/>
              <w:noProof/>
              <w:kern w:val="2"/>
              <w:sz w:val="24"/>
              <w:szCs w:val="24"/>
              <w:lang w:eastAsia="fr-FR"/>
              <w14:ligatures w14:val="standardContextual"/>
            </w:rPr>
          </w:pPr>
          <w:hyperlink w:anchor="_Toc200645442" w:history="1">
            <w:r w:rsidR="000B473A" w:rsidRPr="00C7040A">
              <w:rPr>
                <w:rStyle w:val="Lienhypertexte"/>
                <w:rFonts w:ascii="Marianne" w:hAnsi="Marianne" w:cstheme="minorHAnsi"/>
                <w:noProof/>
              </w:rPr>
              <w:t>4-</w:t>
            </w:r>
            <w:r w:rsidR="000B473A">
              <w:rPr>
                <w:rFonts w:eastAsiaTheme="minorEastAsia"/>
                <w:noProof/>
                <w:kern w:val="2"/>
                <w:sz w:val="24"/>
                <w:szCs w:val="24"/>
                <w:lang w:eastAsia="fr-FR"/>
                <w14:ligatures w14:val="standardContextual"/>
              </w:rPr>
              <w:tab/>
            </w:r>
            <w:r w:rsidR="000B473A" w:rsidRPr="00C7040A">
              <w:rPr>
                <w:rStyle w:val="Lienhypertexte"/>
                <w:rFonts w:ascii="Marianne" w:hAnsi="Marianne" w:cstheme="minorHAnsi"/>
                <w:noProof/>
              </w:rPr>
              <w:t>Modalités de sélection et calendrier</w:t>
            </w:r>
            <w:r w:rsidR="000B473A">
              <w:rPr>
                <w:noProof/>
                <w:webHidden/>
              </w:rPr>
              <w:tab/>
            </w:r>
            <w:r w:rsidR="000B473A">
              <w:rPr>
                <w:noProof/>
                <w:webHidden/>
              </w:rPr>
              <w:fldChar w:fldCharType="begin"/>
            </w:r>
            <w:r w:rsidR="000B473A">
              <w:rPr>
                <w:noProof/>
                <w:webHidden/>
              </w:rPr>
              <w:instrText xml:space="preserve"> PAGEREF _Toc200645442 \h </w:instrText>
            </w:r>
            <w:r w:rsidR="000B473A">
              <w:rPr>
                <w:noProof/>
                <w:webHidden/>
              </w:rPr>
            </w:r>
            <w:r w:rsidR="000B473A">
              <w:rPr>
                <w:noProof/>
                <w:webHidden/>
              </w:rPr>
              <w:fldChar w:fldCharType="separate"/>
            </w:r>
            <w:r w:rsidR="000B473A">
              <w:rPr>
                <w:noProof/>
                <w:webHidden/>
              </w:rPr>
              <w:t>6</w:t>
            </w:r>
            <w:r w:rsidR="000B473A">
              <w:rPr>
                <w:noProof/>
                <w:webHidden/>
              </w:rPr>
              <w:fldChar w:fldCharType="end"/>
            </w:r>
          </w:hyperlink>
        </w:p>
        <w:p w14:paraId="32A03021" w14:textId="77777777" w:rsidR="000B473A" w:rsidRDefault="00000000">
          <w:pPr>
            <w:pStyle w:val="TM2"/>
            <w:tabs>
              <w:tab w:val="right" w:leader="dot" w:pos="9062"/>
            </w:tabs>
            <w:rPr>
              <w:rFonts w:eastAsiaTheme="minorEastAsia"/>
              <w:noProof/>
              <w:kern w:val="2"/>
              <w:sz w:val="24"/>
              <w:szCs w:val="24"/>
              <w:lang w:eastAsia="fr-FR"/>
              <w14:ligatures w14:val="standardContextual"/>
            </w:rPr>
          </w:pPr>
          <w:hyperlink w:anchor="_Toc200645443" w:history="1">
            <w:r w:rsidR="000B473A" w:rsidRPr="00C7040A">
              <w:rPr>
                <w:rStyle w:val="Lienhypertexte"/>
                <w:rFonts w:ascii="Marianne" w:hAnsi="Marianne"/>
                <w:noProof/>
              </w:rPr>
              <w:t>4.1- Procédure de choix et notification</w:t>
            </w:r>
            <w:r w:rsidR="000B473A">
              <w:rPr>
                <w:noProof/>
                <w:webHidden/>
              </w:rPr>
              <w:tab/>
            </w:r>
            <w:r w:rsidR="000B473A">
              <w:rPr>
                <w:noProof/>
                <w:webHidden/>
              </w:rPr>
              <w:fldChar w:fldCharType="begin"/>
            </w:r>
            <w:r w:rsidR="000B473A">
              <w:rPr>
                <w:noProof/>
                <w:webHidden/>
              </w:rPr>
              <w:instrText xml:space="preserve"> PAGEREF _Toc200645443 \h </w:instrText>
            </w:r>
            <w:r w:rsidR="000B473A">
              <w:rPr>
                <w:noProof/>
                <w:webHidden/>
              </w:rPr>
            </w:r>
            <w:r w:rsidR="000B473A">
              <w:rPr>
                <w:noProof/>
                <w:webHidden/>
              </w:rPr>
              <w:fldChar w:fldCharType="separate"/>
            </w:r>
            <w:r w:rsidR="000B473A">
              <w:rPr>
                <w:noProof/>
                <w:webHidden/>
              </w:rPr>
              <w:t>6</w:t>
            </w:r>
            <w:r w:rsidR="000B473A">
              <w:rPr>
                <w:noProof/>
                <w:webHidden/>
              </w:rPr>
              <w:fldChar w:fldCharType="end"/>
            </w:r>
          </w:hyperlink>
        </w:p>
        <w:p w14:paraId="466332E9" w14:textId="77777777" w:rsidR="000B473A" w:rsidRDefault="00000000">
          <w:pPr>
            <w:pStyle w:val="TM2"/>
            <w:tabs>
              <w:tab w:val="right" w:leader="dot" w:pos="9062"/>
            </w:tabs>
            <w:rPr>
              <w:rFonts w:eastAsiaTheme="minorEastAsia"/>
              <w:noProof/>
              <w:kern w:val="2"/>
              <w:sz w:val="24"/>
              <w:szCs w:val="24"/>
              <w:lang w:eastAsia="fr-FR"/>
              <w14:ligatures w14:val="standardContextual"/>
            </w:rPr>
          </w:pPr>
          <w:hyperlink w:anchor="_Toc200645444" w:history="1">
            <w:r w:rsidR="000B473A" w:rsidRPr="00C7040A">
              <w:rPr>
                <w:rStyle w:val="Lienhypertexte"/>
                <w:rFonts w:ascii="Marianne" w:hAnsi="Marianne"/>
                <w:noProof/>
              </w:rPr>
              <w:t>4.2- Calendrier de l’appel à projet</w:t>
            </w:r>
            <w:r w:rsidR="000B473A">
              <w:rPr>
                <w:noProof/>
                <w:webHidden/>
              </w:rPr>
              <w:tab/>
            </w:r>
            <w:r w:rsidR="000B473A">
              <w:rPr>
                <w:noProof/>
                <w:webHidden/>
              </w:rPr>
              <w:fldChar w:fldCharType="begin"/>
            </w:r>
            <w:r w:rsidR="000B473A">
              <w:rPr>
                <w:noProof/>
                <w:webHidden/>
              </w:rPr>
              <w:instrText xml:space="preserve"> PAGEREF _Toc200645444 \h </w:instrText>
            </w:r>
            <w:r w:rsidR="000B473A">
              <w:rPr>
                <w:noProof/>
                <w:webHidden/>
              </w:rPr>
            </w:r>
            <w:r w:rsidR="000B473A">
              <w:rPr>
                <w:noProof/>
                <w:webHidden/>
              </w:rPr>
              <w:fldChar w:fldCharType="separate"/>
            </w:r>
            <w:r w:rsidR="000B473A">
              <w:rPr>
                <w:noProof/>
                <w:webHidden/>
              </w:rPr>
              <w:t>6</w:t>
            </w:r>
            <w:r w:rsidR="000B473A">
              <w:rPr>
                <w:noProof/>
                <w:webHidden/>
              </w:rPr>
              <w:fldChar w:fldCharType="end"/>
            </w:r>
          </w:hyperlink>
        </w:p>
        <w:p w14:paraId="66A4F513" w14:textId="77777777" w:rsidR="000B473A" w:rsidRDefault="00000000">
          <w:pPr>
            <w:pStyle w:val="TM1"/>
            <w:tabs>
              <w:tab w:val="left" w:pos="660"/>
              <w:tab w:val="right" w:leader="dot" w:pos="9062"/>
            </w:tabs>
            <w:rPr>
              <w:rFonts w:eastAsiaTheme="minorEastAsia"/>
              <w:noProof/>
              <w:kern w:val="2"/>
              <w:sz w:val="24"/>
              <w:szCs w:val="24"/>
              <w:lang w:eastAsia="fr-FR"/>
              <w14:ligatures w14:val="standardContextual"/>
            </w:rPr>
          </w:pPr>
          <w:hyperlink w:anchor="_Toc200645445" w:history="1">
            <w:r w:rsidR="000B473A" w:rsidRPr="00C7040A">
              <w:rPr>
                <w:rStyle w:val="Lienhypertexte"/>
                <w:rFonts w:ascii="Marianne" w:hAnsi="Marianne" w:cstheme="minorHAnsi"/>
                <w:noProof/>
              </w:rPr>
              <w:t>5-</w:t>
            </w:r>
            <w:r w:rsidR="000B473A">
              <w:rPr>
                <w:rFonts w:eastAsiaTheme="minorEastAsia"/>
                <w:noProof/>
                <w:kern w:val="2"/>
                <w:sz w:val="24"/>
                <w:szCs w:val="24"/>
                <w:lang w:eastAsia="fr-FR"/>
                <w14:ligatures w14:val="standardContextual"/>
              </w:rPr>
              <w:tab/>
            </w:r>
            <w:r w:rsidR="000B473A" w:rsidRPr="00C7040A">
              <w:rPr>
                <w:rStyle w:val="Lienhypertexte"/>
                <w:rFonts w:ascii="Marianne" w:hAnsi="Marianne" w:cstheme="minorHAnsi"/>
                <w:noProof/>
              </w:rPr>
              <w:t>Annexe :</w:t>
            </w:r>
            <w:r w:rsidR="000B473A">
              <w:rPr>
                <w:noProof/>
                <w:webHidden/>
              </w:rPr>
              <w:tab/>
            </w:r>
            <w:r w:rsidR="000B473A">
              <w:rPr>
                <w:noProof/>
                <w:webHidden/>
              </w:rPr>
              <w:fldChar w:fldCharType="begin"/>
            </w:r>
            <w:r w:rsidR="000B473A">
              <w:rPr>
                <w:noProof/>
                <w:webHidden/>
              </w:rPr>
              <w:instrText xml:space="preserve"> PAGEREF _Toc200645445 \h </w:instrText>
            </w:r>
            <w:r w:rsidR="000B473A">
              <w:rPr>
                <w:noProof/>
                <w:webHidden/>
              </w:rPr>
            </w:r>
            <w:r w:rsidR="000B473A">
              <w:rPr>
                <w:noProof/>
                <w:webHidden/>
              </w:rPr>
              <w:fldChar w:fldCharType="separate"/>
            </w:r>
            <w:r w:rsidR="000B473A">
              <w:rPr>
                <w:noProof/>
                <w:webHidden/>
              </w:rPr>
              <w:t>8</w:t>
            </w:r>
            <w:r w:rsidR="000B473A">
              <w:rPr>
                <w:noProof/>
                <w:webHidden/>
              </w:rPr>
              <w:fldChar w:fldCharType="end"/>
            </w:r>
          </w:hyperlink>
        </w:p>
        <w:p w14:paraId="615AD156" w14:textId="77777777" w:rsidR="00191A8F" w:rsidRDefault="00000000" w:rsidP="000B473A">
          <w:pPr>
            <w:pStyle w:val="TM1"/>
            <w:tabs>
              <w:tab w:val="left" w:pos="567"/>
              <w:tab w:val="right" w:leader="dot" w:pos="9062"/>
            </w:tabs>
            <w:jc w:val="both"/>
            <w:rPr>
              <w:rFonts w:eastAsiaTheme="minorEastAsia"/>
              <w:sz w:val="24"/>
              <w:szCs w:val="24"/>
              <w14:ligatures w14:val="standardContextual"/>
            </w:rPr>
          </w:pPr>
          <w:r>
            <w:rPr>
              <w:b/>
              <w:bCs/>
            </w:rPr>
            <w:fldChar w:fldCharType="end"/>
          </w:r>
        </w:p>
      </w:sdtContent>
    </w:sdt>
    <w:p w14:paraId="741DBE9C" w14:textId="77777777" w:rsidR="00191A8F" w:rsidRDefault="00191A8F">
      <w:pPr>
        <w:pStyle w:val="Corpsdetexte"/>
        <w:jc w:val="both"/>
        <w:rPr>
          <w:rFonts w:ascii="Marianne" w:hAnsi="Marianne"/>
          <w:b/>
          <w:sz w:val="22"/>
          <w:szCs w:val="22"/>
        </w:rPr>
      </w:pPr>
    </w:p>
    <w:p w14:paraId="342655DE" w14:textId="77777777" w:rsidR="00191A8F" w:rsidRDefault="00000000">
      <w:pPr>
        <w:jc w:val="both"/>
        <w:rPr>
          <w:rFonts w:ascii="Marianne" w:eastAsiaTheme="majorEastAsia" w:hAnsi="Marianne" w:cstheme="minorHAnsi"/>
          <w:color w:val="365F91" w:themeColor="accent1" w:themeShade="BF"/>
        </w:rPr>
      </w:pPr>
      <w:r>
        <w:rPr>
          <w:rFonts w:ascii="Marianne" w:hAnsi="Marianne" w:cstheme="minorHAnsi"/>
        </w:rPr>
        <w:br w:type="page" w:clear="all"/>
      </w:r>
    </w:p>
    <w:p w14:paraId="3DB8EE67" w14:textId="77777777" w:rsidR="00191A8F" w:rsidRDefault="00000000">
      <w:pPr>
        <w:pStyle w:val="Titre1"/>
        <w:numPr>
          <w:ilvl w:val="0"/>
          <w:numId w:val="1"/>
        </w:numPr>
        <w:jc w:val="both"/>
        <w:rPr>
          <w:rFonts w:ascii="Marianne" w:hAnsi="Marianne" w:cstheme="minorHAnsi"/>
          <w:sz w:val="22"/>
          <w:szCs w:val="22"/>
        </w:rPr>
      </w:pPr>
      <w:bookmarkStart w:id="0" w:name="_Toc200645436"/>
      <w:r>
        <w:rPr>
          <w:rFonts w:ascii="Marianne" w:hAnsi="Marianne" w:cstheme="minorHAnsi"/>
          <w:sz w:val="22"/>
          <w:szCs w:val="22"/>
        </w:rPr>
        <w:lastRenderedPageBreak/>
        <w:t>Contexte et objectifs de l’appel à projets</w:t>
      </w:r>
      <w:bookmarkEnd w:id="0"/>
    </w:p>
    <w:p w14:paraId="7A9ECD91" w14:textId="77777777" w:rsidR="00191A8F" w:rsidRDefault="00191A8F" w:rsidP="000B473A">
      <w:pPr>
        <w:jc w:val="both"/>
        <w:rPr>
          <w:rFonts w:ascii="Marianne" w:hAnsi="Marianne" w:cstheme="minorHAnsi"/>
        </w:rPr>
      </w:pPr>
    </w:p>
    <w:p w14:paraId="39411FF3" w14:textId="77777777" w:rsidR="00191A8F" w:rsidRDefault="00000000">
      <w:pPr>
        <w:pStyle w:val="Titre2"/>
        <w:jc w:val="both"/>
        <w:rPr>
          <w:rFonts w:ascii="Marianne" w:hAnsi="Marianne" w:cstheme="minorHAnsi"/>
          <w:sz w:val="22"/>
          <w:szCs w:val="22"/>
        </w:rPr>
      </w:pPr>
      <w:bookmarkStart w:id="1" w:name="_Toc200645437"/>
      <w:r>
        <w:rPr>
          <w:rFonts w:ascii="Marianne" w:hAnsi="Marianne" w:cstheme="minorHAnsi"/>
          <w:sz w:val="22"/>
          <w:szCs w:val="22"/>
        </w:rPr>
        <w:t>1.1- Contexte</w:t>
      </w:r>
      <w:bookmarkEnd w:id="1"/>
    </w:p>
    <w:p w14:paraId="127372E4" w14:textId="77777777" w:rsidR="00191A8F" w:rsidRDefault="00000000">
      <w:pPr>
        <w:spacing w:after="0" w:line="240" w:lineRule="auto"/>
        <w:jc w:val="both"/>
        <w:rPr>
          <w:rFonts w:ascii="Marianne" w:hAnsi="Marianne"/>
        </w:rPr>
      </w:pPr>
      <w:r>
        <w:rPr>
          <w:rFonts w:ascii="Marianne" w:hAnsi="Marianne"/>
        </w:rPr>
        <w:t xml:space="preserve">Comme l’ensemble des activités humaines, le système de santé est concerné par les conséquences du changement climatique. Au regard de son poids dans les émissions de gaz à effet de serre nationales, le système de santé doit prendre sa part dans la réduction de l’empreinte carbone : </w:t>
      </w:r>
    </w:p>
    <w:p w14:paraId="720B3E7C" w14:textId="77777777" w:rsidR="00191A8F" w:rsidRDefault="00000000">
      <w:pPr>
        <w:pStyle w:val="Paragraphedeliste"/>
        <w:numPr>
          <w:ilvl w:val="0"/>
          <w:numId w:val="30"/>
        </w:numPr>
        <w:spacing w:after="0" w:line="240" w:lineRule="auto"/>
        <w:jc w:val="both"/>
        <w:rPr>
          <w:rFonts w:ascii="Marianne" w:hAnsi="Marianne"/>
        </w:rPr>
      </w:pPr>
      <w:r>
        <w:rPr>
          <w:rFonts w:ascii="Marianne" w:hAnsi="Marianne"/>
        </w:rPr>
        <w:t xml:space="preserve">Ce dernier représente plus de 8% des émissions de gaz à effet de serre nationales ; </w:t>
      </w:r>
    </w:p>
    <w:p w14:paraId="34691AF3" w14:textId="77777777" w:rsidR="00191A8F" w:rsidRDefault="00000000">
      <w:pPr>
        <w:pStyle w:val="Paragraphedeliste"/>
        <w:numPr>
          <w:ilvl w:val="0"/>
          <w:numId w:val="30"/>
        </w:numPr>
        <w:spacing w:after="0" w:line="240" w:lineRule="auto"/>
        <w:jc w:val="both"/>
        <w:rPr>
          <w:rFonts w:ascii="Marianne" w:hAnsi="Marianne"/>
        </w:rPr>
      </w:pPr>
      <w:r>
        <w:rPr>
          <w:rFonts w:ascii="Marianne" w:hAnsi="Marianne"/>
        </w:rPr>
        <w:t xml:space="preserve">L’impact de l’offre de soins représente environ 45% de ces émissions ; </w:t>
      </w:r>
    </w:p>
    <w:p w14:paraId="3F3BB884" w14:textId="77777777" w:rsidR="00191A8F" w:rsidRDefault="00000000">
      <w:pPr>
        <w:pStyle w:val="Paragraphedeliste"/>
        <w:numPr>
          <w:ilvl w:val="0"/>
          <w:numId w:val="30"/>
        </w:numPr>
        <w:spacing w:after="0" w:line="240" w:lineRule="auto"/>
        <w:jc w:val="both"/>
        <w:rPr>
          <w:rFonts w:ascii="Marianne" w:hAnsi="Marianne"/>
        </w:rPr>
      </w:pPr>
      <w:r>
        <w:rPr>
          <w:rFonts w:ascii="Marianne" w:hAnsi="Marianne"/>
        </w:rPr>
        <w:t xml:space="preserve">Les médicaments et les dispositifs médicaux engendrent les 55% restants. </w:t>
      </w:r>
    </w:p>
    <w:p w14:paraId="71226A6E" w14:textId="77777777" w:rsidR="00191A8F" w:rsidRDefault="00191A8F">
      <w:pPr>
        <w:spacing w:after="0" w:line="240" w:lineRule="auto"/>
        <w:jc w:val="both"/>
        <w:rPr>
          <w:rFonts w:ascii="Marianne" w:hAnsi="Marianne"/>
        </w:rPr>
      </w:pPr>
    </w:p>
    <w:p w14:paraId="5059ECEE" w14:textId="77777777" w:rsidR="00191A8F" w:rsidRDefault="00000000">
      <w:pPr>
        <w:spacing w:after="0" w:line="240" w:lineRule="auto"/>
        <w:jc w:val="both"/>
        <w:rPr>
          <w:rFonts w:ascii="Marianne" w:hAnsi="Marianne"/>
        </w:rPr>
      </w:pPr>
      <w:r>
        <w:rPr>
          <w:rFonts w:ascii="Marianne" w:hAnsi="Marianne"/>
        </w:rPr>
        <w:t xml:space="preserve">Le “Décret éco-énergie tertiaire” dit « décret tertiaire » (du 23 juillet 2019), entré en vigueur le 1er octobre 2019, précise les modalités d’application de l’article 175 de la Loi ÉLAN (Évolution du Logement, de l’Aménagement et du Numérique). Cet article impose une réduction de la consommation énergétique du parc tertiaire français pour les bâtiments dont la surface est supérieure à 1000 m² : - 40 % en 2030, - 50 % en 2040 et - 60 % en 2050 par rapport à une année au choix qui ne peut être antérieure à 2010, grâce à des mesures d’efficacité et de sobriété énergétique. </w:t>
      </w:r>
    </w:p>
    <w:p w14:paraId="24E340C0" w14:textId="77777777" w:rsidR="00191A8F" w:rsidRDefault="00191A8F">
      <w:pPr>
        <w:spacing w:after="0" w:line="240" w:lineRule="auto"/>
        <w:jc w:val="both"/>
        <w:rPr>
          <w:rFonts w:ascii="Marianne" w:hAnsi="Marianne"/>
        </w:rPr>
      </w:pPr>
    </w:p>
    <w:p w14:paraId="3D37DADE" w14:textId="77777777" w:rsidR="00191A8F" w:rsidRDefault="00000000">
      <w:pPr>
        <w:spacing w:after="0" w:line="240" w:lineRule="auto"/>
        <w:jc w:val="both"/>
        <w:rPr>
          <w:rFonts w:ascii="Marianne" w:hAnsi="Marianne"/>
        </w:rPr>
      </w:pPr>
      <w:r>
        <w:rPr>
          <w:rFonts w:ascii="Marianne" w:hAnsi="Marianne"/>
        </w:rPr>
        <w:t xml:space="preserve">La rénovation énergétique globale des bâtiments est un des leviers majeurs pour réduire les émissions associées à la consommation d’énergie. Pour être efficace, ces travaux doivent s’inscrire dans une stratégie établie basée sur l’audit du bâtiment. </w:t>
      </w:r>
    </w:p>
    <w:p w14:paraId="22D45DAD" w14:textId="77777777" w:rsidR="00191A8F" w:rsidRDefault="00191A8F">
      <w:pPr>
        <w:spacing w:after="0" w:line="240" w:lineRule="auto"/>
        <w:jc w:val="both"/>
        <w:rPr>
          <w:rFonts w:ascii="Marianne" w:hAnsi="Marianne"/>
        </w:rPr>
      </w:pPr>
    </w:p>
    <w:p w14:paraId="481A8652" w14:textId="77777777" w:rsidR="00191A8F" w:rsidRDefault="00000000">
      <w:pPr>
        <w:spacing w:after="0" w:line="240" w:lineRule="auto"/>
        <w:jc w:val="both"/>
        <w:rPr>
          <w:rFonts w:ascii="Marianne" w:hAnsi="Marianne"/>
        </w:rPr>
      </w:pPr>
      <w:r>
        <w:rPr>
          <w:rFonts w:ascii="Marianne" w:hAnsi="Marianne"/>
        </w:rPr>
        <w:t>L’ARS Ile de France et l’ARS Provence Alpes Côte d’Azur avec le réseau des CTEES ainsi que celui des économes de flux et le soutien de l’ANAP souhaitent dynamiser le recours aux contrats de performance énergétique globaux dans un souci d'atteinte de l'objectif 2050 du décret tertiaire. Cette démarche va dans le sens d'accélérer la rénovation énergétique des bâtiments du secteur de la santé mais aussi de fiabiliser dans le temps, ces réductions des consommations d'énergie. Cette logique se veut partenariale et reproductible dans les autres régions.</w:t>
      </w:r>
    </w:p>
    <w:p w14:paraId="3C9FD4C7" w14:textId="77777777" w:rsidR="00191A8F" w:rsidRDefault="00191A8F">
      <w:pPr>
        <w:spacing w:after="0" w:line="240" w:lineRule="auto"/>
        <w:jc w:val="both"/>
        <w:rPr>
          <w:rFonts w:ascii="Marianne" w:hAnsi="Marianne"/>
        </w:rPr>
      </w:pPr>
    </w:p>
    <w:p w14:paraId="5AB299BA" w14:textId="77777777" w:rsidR="00191A8F" w:rsidRDefault="00000000">
      <w:pPr>
        <w:spacing w:after="0" w:line="240" w:lineRule="auto"/>
        <w:jc w:val="both"/>
        <w:rPr>
          <w:rFonts w:ascii="Marianne" w:hAnsi="Marianne"/>
        </w:rPr>
      </w:pPr>
      <w:r>
        <w:rPr>
          <w:rFonts w:ascii="Marianne" w:hAnsi="Marianne"/>
        </w:rPr>
        <w:t>Une logique partenariale nationale et propre à chaque territoire permettra d’accompagner les candidats dans leurs démarches :</w:t>
      </w:r>
    </w:p>
    <w:p w14:paraId="10C060B2" w14:textId="77777777" w:rsidR="00191A8F" w:rsidRDefault="00000000">
      <w:pPr>
        <w:pStyle w:val="Paragraphedeliste"/>
        <w:numPr>
          <w:ilvl w:val="0"/>
          <w:numId w:val="25"/>
        </w:numPr>
        <w:spacing w:after="0" w:line="240" w:lineRule="auto"/>
        <w:jc w:val="both"/>
        <w:rPr>
          <w:rFonts w:ascii="Marianne" w:hAnsi="Marianne"/>
        </w:rPr>
      </w:pPr>
      <w:r>
        <w:rPr>
          <w:rFonts w:ascii="Marianne" w:hAnsi="Marianne"/>
        </w:rPr>
        <w:t>ADEME – Accompagnement à l’animation de la démarche</w:t>
      </w:r>
    </w:p>
    <w:p w14:paraId="3F4A4443" w14:textId="77777777" w:rsidR="00191A8F" w:rsidRDefault="00000000">
      <w:pPr>
        <w:spacing w:after="0" w:line="240" w:lineRule="auto"/>
        <w:jc w:val="both"/>
        <w:rPr>
          <w:rFonts w:ascii="Marianne" w:hAnsi="Marianne"/>
        </w:rPr>
      </w:pPr>
      <w:r>
        <w:rPr>
          <w:rFonts w:ascii="Marianne" w:hAnsi="Marianne"/>
        </w:rPr>
        <w:t xml:space="preserve">Et en Région : </w:t>
      </w:r>
    </w:p>
    <w:p w14:paraId="1F298FA4" w14:textId="77777777" w:rsidR="00191A8F" w:rsidRDefault="00000000">
      <w:pPr>
        <w:pStyle w:val="Paragraphedeliste"/>
        <w:numPr>
          <w:ilvl w:val="0"/>
          <w:numId w:val="25"/>
        </w:numPr>
        <w:spacing w:after="0" w:line="240" w:lineRule="auto"/>
        <w:jc w:val="both"/>
        <w:rPr>
          <w:rFonts w:ascii="Marianne" w:hAnsi="Marianne"/>
        </w:rPr>
      </w:pPr>
      <w:r>
        <w:rPr>
          <w:rFonts w:ascii="Marianne" w:hAnsi="Marianne"/>
        </w:rPr>
        <w:t>ADEME – Formation et suivi, financement</w:t>
      </w:r>
    </w:p>
    <w:p w14:paraId="18783D21" w14:textId="77777777" w:rsidR="00191A8F" w:rsidRDefault="00000000">
      <w:pPr>
        <w:pStyle w:val="Paragraphedeliste"/>
        <w:numPr>
          <w:ilvl w:val="0"/>
          <w:numId w:val="25"/>
        </w:numPr>
        <w:spacing w:after="0" w:line="240" w:lineRule="auto"/>
        <w:jc w:val="both"/>
        <w:rPr>
          <w:rFonts w:ascii="Marianne" w:hAnsi="Marianne"/>
        </w:rPr>
      </w:pPr>
      <w:r>
        <w:rPr>
          <w:rFonts w:ascii="Marianne" w:hAnsi="Marianne"/>
        </w:rPr>
        <w:t xml:space="preserve">ANFH/OPCO - Formation </w:t>
      </w:r>
    </w:p>
    <w:p w14:paraId="57CDD774" w14:textId="77777777" w:rsidR="00191A8F" w:rsidRDefault="00000000">
      <w:pPr>
        <w:pStyle w:val="Paragraphedeliste"/>
        <w:numPr>
          <w:ilvl w:val="0"/>
          <w:numId w:val="25"/>
        </w:numPr>
        <w:spacing w:after="0" w:line="240" w:lineRule="auto"/>
        <w:jc w:val="both"/>
        <w:rPr>
          <w:rFonts w:ascii="Marianne" w:hAnsi="Marianne"/>
        </w:rPr>
      </w:pPr>
      <w:r>
        <w:rPr>
          <w:rFonts w:ascii="Marianne" w:hAnsi="Marianne"/>
        </w:rPr>
        <w:t>Banque des territoires – Accompagnement et financement</w:t>
      </w:r>
    </w:p>
    <w:p w14:paraId="0ECF6D63" w14:textId="77777777" w:rsidR="00191A8F" w:rsidRDefault="00000000">
      <w:pPr>
        <w:pStyle w:val="Paragraphedeliste"/>
        <w:numPr>
          <w:ilvl w:val="0"/>
          <w:numId w:val="25"/>
        </w:numPr>
        <w:spacing w:after="0" w:line="240" w:lineRule="auto"/>
        <w:jc w:val="both"/>
        <w:rPr>
          <w:rFonts w:ascii="Marianne" w:hAnsi="Marianne"/>
        </w:rPr>
      </w:pPr>
      <w:r>
        <w:rPr>
          <w:rFonts w:ascii="Marianne" w:hAnsi="Marianne"/>
        </w:rPr>
        <w:t xml:space="preserve">ARS : Accompagnement méthodologique, </w:t>
      </w:r>
    </w:p>
    <w:p w14:paraId="46A42630" w14:textId="77777777" w:rsidR="00191A8F" w:rsidRPr="000B473A" w:rsidRDefault="00191A8F" w:rsidP="000B473A">
      <w:pPr>
        <w:spacing w:after="0" w:line="240" w:lineRule="auto"/>
        <w:jc w:val="both"/>
        <w:rPr>
          <w:rFonts w:ascii="Marianne" w:hAnsi="Marianne"/>
        </w:rPr>
      </w:pPr>
    </w:p>
    <w:p w14:paraId="2259D442" w14:textId="77777777" w:rsidR="00191A8F" w:rsidRDefault="00191A8F">
      <w:pPr>
        <w:spacing w:after="0" w:line="240" w:lineRule="auto"/>
        <w:jc w:val="both"/>
        <w:rPr>
          <w:rFonts w:ascii="Marianne" w:hAnsi="Marianne"/>
        </w:rPr>
      </w:pPr>
    </w:p>
    <w:p w14:paraId="6B30B321" w14:textId="77777777" w:rsidR="00191A8F" w:rsidRDefault="00191A8F">
      <w:pPr>
        <w:spacing w:after="0" w:line="240" w:lineRule="auto"/>
        <w:jc w:val="both"/>
        <w:rPr>
          <w:rFonts w:ascii="Marianne" w:hAnsi="Marianne"/>
        </w:rPr>
      </w:pPr>
    </w:p>
    <w:p w14:paraId="4654D9F2" w14:textId="77777777" w:rsidR="00191A8F" w:rsidRPr="000B473A" w:rsidRDefault="00191A8F" w:rsidP="000B473A">
      <w:pPr>
        <w:spacing w:after="0" w:line="240" w:lineRule="auto"/>
        <w:jc w:val="both"/>
        <w:rPr>
          <w:rFonts w:ascii="Marianne" w:hAnsi="Marianne"/>
        </w:rPr>
      </w:pPr>
    </w:p>
    <w:p w14:paraId="4039F48D" w14:textId="77777777" w:rsidR="00191A8F" w:rsidRDefault="00000000">
      <w:pPr>
        <w:spacing w:after="0" w:line="240" w:lineRule="auto"/>
        <w:jc w:val="both"/>
        <w:rPr>
          <w:rFonts w:ascii="Marianne" w:hAnsi="Marianne"/>
          <w:i/>
          <w:iCs/>
        </w:rPr>
      </w:pPr>
      <w:r>
        <w:rPr>
          <w:rFonts w:ascii="Marianne" w:hAnsi="Marianne"/>
          <w:i/>
          <w:iCs/>
        </w:rPr>
        <w:t xml:space="preserve">NB : L’Observatoire National des CPE apportera son expertise et recueillera les données nécessaires au retour d’expérience du secteur. </w:t>
      </w:r>
    </w:p>
    <w:p w14:paraId="0A67A4AF" w14:textId="77777777" w:rsidR="00191A8F" w:rsidRDefault="00191A8F">
      <w:pPr>
        <w:spacing w:after="0" w:line="240" w:lineRule="auto"/>
        <w:jc w:val="both"/>
        <w:rPr>
          <w:rFonts w:ascii="Marianne" w:hAnsi="Marianne"/>
        </w:rPr>
      </w:pPr>
    </w:p>
    <w:p w14:paraId="452590C9" w14:textId="77777777" w:rsidR="00191A8F" w:rsidRDefault="00000000">
      <w:pPr>
        <w:spacing w:after="0" w:line="240" w:lineRule="auto"/>
        <w:jc w:val="both"/>
        <w:rPr>
          <w:rFonts w:ascii="Marianne" w:hAnsi="Marianne"/>
        </w:rPr>
      </w:pPr>
      <w:r>
        <w:rPr>
          <w:rFonts w:ascii="Marianne" w:hAnsi="Marianne"/>
        </w:rPr>
        <w:t>Les ARS souhaitent à travers cet Appel à Projet permettre à des établissements engagés d’aller au bout de leur projet de mise en place d’un contrat de performance énergétique et ce, peu importe leur point de départ. L’ARS s’engage à :</w:t>
      </w:r>
    </w:p>
    <w:p w14:paraId="4D30463C" w14:textId="77777777" w:rsidR="000B473A" w:rsidRDefault="00000000">
      <w:pPr>
        <w:pStyle w:val="Paragraphedeliste"/>
        <w:numPr>
          <w:ilvl w:val="0"/>
          <w:numId w:val="25"/>
        </w:numPr>
        <w:spacing w:after="0" w:line="240" w:lineRule="auto"/>
        <w:jc w:val="both"/>
        <w:rPr>
          <w:rFonts w:ascii="Marianne" w:hAnsi="Marianne"/>
        </w:rPr>
      </w:pPr>
      <w:r>
        <w:rPr>
          <w:rFonts w:ascii="Marianne" w:hAnsi="Marianne"/>
        </w:rPr>
        <w:t>Proposer un cadre de suivi (formation, séminaire, rencontre…) aux équipes projet ;</w:t>
      </w:r>
    </w:p>
    <w:p w14:paraId="5003561F" w14:textId="77777777" w:rsidR="00191A8F" w:rsidRDefault="00000000">
      <w:pPr>
        <w:pStyle w:val="Paragraphedeliste"/>
        <w:numPr>
          <w:ilvl w:val="0"/>
          <w:numId w:val="25"/>
        </w:numPr>
        <w:spacing w:after="0" w:line="240" w:lineRule="auto"/>
        <w:jc w:val="both"/>
        <w:rPr>
          <w:rFonts w:ascii="Marianne" w:hAnsi="Marianne"/>
        </w:rPr>
      </w:pPr>
      <w:r>
        <w:rPr>
          <w:rFonts w:ascii="Marianne" w:hAnsi="Marianne"/>
        </w:rPr>
        <w:t>Faciliter l’accès aux aides financières existantes ;</w:t>
      </w:r>
    </w:p>
    <w:p w14:paraId="2B0BB370" w14:textId="77777777" w:rsidR="00191A8F" w:rsidRDefault="00000000">
      <w:pPr>
        <w:pStyle w:val="Paragraphedeliste"/>
        <w:numPr>
          <w:ilvl w:val="0"/>
          <w:numId w:val="25"/>
        </w:numPr>
        <w:spacing w:after="0" w:line="240" w:lineRule="auto"/>
        <w:jc w:val="both"/>
        <w:rPr>
          <w:rFonts w:ascii="Marianne" w:hAnsi="Marianne"/>
        </w:rPr>
      </w:pPr>
      <w:r>
        <w:rPr>
          <w:rFonts w:ascii="Marianne" w:hAnsi="Marianne"/>
        </w:rPr>
        <w:t>Faciliter les montages contractuels et financiers.</w:t>
      </w:r>
    </w:p>
    <w:p w14:paraId="7AEF90CC" w14:textId="77777777" w:rsidR="00191A8F" w:rsidRDefault="00191A8F">
      <w:pPr>
        <w:spacing w:after="0" w:line="240" w:lineRule="auto"/>
        <w:jc w:val="both"/>
        <w:rPr>
          <w:rFonts w:ascii="Marianne" w:hAnsi="Marianne"/>
        </w:rPr>
      </w:pPr>
    </w:p>
    <w:p w14:paraId="5392DC64" w14:textId="77777777" w:rsidR="00191A8F" w:rsidRDefault="00000000">
      <w:pPr>
        <w:spacing w:after="0" w:line="240" w:lineRule="auto"/>
        <w:jc w:val="both"/>
        <w:rPr>
          <w:rFonts w:ascii="Marianne" w:hAnsi="Marianne"/>
        </w:rPr>
      </w:pPr>
      <w:r>
        <w:rPr>
          <w:rFonts w:ascii="Marianne" w:hAnsi="Marianne"/>
        </w:rPr>
        <w:t>A qui s'adresse cet appel ?</w:t>
      </w:r>
    </w:p>
    <w:p w14:paraId="441DD2F3" w14:textId="77777777" w:rsidR="00191A8F" w:rsidRDefault="00000000">
      <w:pPr>
        <w:spacing w:after="0" w:line="240" w:lineRule="auto"/>
        <w:jc w:val="both"/>
        <w:rPr>
          <w:rFonts w:ascii="Marianne" w:hAnsi="Marianne"/>
        </w:rPr>
      </w:pPr>
      <w:r>
        <w:rPr>
          <w:rFonts w:ascii="Marianne" w:hAnsi="Marianne"/>
        </w:rPr>
        <w:t xml:space="preserve">L’ensemble des établissements sanitaires et médico-sociaux de santé publics, privés non lucratifs et lucratifs sont éligibles à cet AAP, en priorité ceux présentant une vision consolidée de leur patrimoine et disposant d’une équipe projet définie. En effet les CPE sont des outils complexes et le succès de leur mise en place repose sur un travail rigoureux quant à </w:t>
      </w:r>
    </w:p>
    <w:p w14:paraId="4732A053" w14:textId="77777777" w:rsidR="00191A8F" w:rsidRDefault="00000000">
      <w:pPr>
        <w:spacing w:after="0" w:line="240" w:lineRule="auto"/>
        <w:jc w:val="both"/>
        <w:rPr>
          <w:rFonts w:ascii="Marianne" w:hAnsi="Marianne"/>
        </w:rPr>
      </w:pPr>
      <w:r>
        <w:rPr>
          <w:rFonts w:ascii="Marianne" w:hAnsi="Marianne"/>
        </w:rPr>
        <w:t>•</w:t>
      </w:r>
      <w:r>
        <w:rPr>
          <w:rFonts w:ascii="Marianne" w:hAnsi="Marianne"/>
        </w:rPr>
        <w:tab/>
        <w:t xml:space="preserve">L’évaluation de la situation patrimoniale et énergétique de référence </w:t>
      </w:r>
    </w:p>
    <w:p w14:paraId="7C3D6724" w14:textId="77777777" w:rsidR="00191A8F" w:rsidRDefault="00000000">
      <w:pPr>
        <w:spacing w:after="0" w:line="240" w:lineRule="auto"/>
        <w:jc w:val="both"/>
        <w:rPr>
          <w:rFonts w:ascii="Marianne" w:hAnsi="Marianne"/>
        </w:rPr>
      </w:pPr>
      <w:r>
        <w:rPr>
          <w:rFonts w:ascii="Marianne" w:hAnsi="Marianne"/>
        </w:rPr>
        <w:t>•</w:t>
      </w:r>
      <w:r>
        <w:rPr>
          <w:rFonts w:ascii="Marianne" w:hAnsi="Marianne"/>
        </w:rPr>
        <w:tab/>
        <w:t xml:space="preserve">La définition des missions du titulaire du marché </w:t>
      </w:r>
    </w:p>
    <w:p w14:paraId="5AAACBDC" w14:textId="77777777" w:rsidR="00191A8F" w:rsidRDefault="00000000">
      <w:pPr>
        <w:spacing w:after="0" w:line="240" w:lineRule="auto"/>
        <w:jc w:val="both"/>
        <w:rPr>
          <w:rFonts w:ascii="Marianne" w:hAnsi="Marianne"/>
        </w:rPr>
      </w:pPr>
      <w:r>
        <w:rPr>
          <w:rFonts w:ascii="Marianne" w:hAnsi="Marianne"/>
        </w:rPr>
        <w:t>•</w:t>
      </w:r>
      <w:r>
        <w:rPr>
          <w:rFonts w:ascii="Marianne" w:hAnsi="Marianne"/>
        </w:rPr>
        <w:tab/>
        <w:t xml:space="preserve">La définition des périmètres de l’opération </w:t>
      </w:r>
    </w:p>
    <w:p w14:paraId="655B9375" w14:textId="77777777" w:rsidR="00191A8F" w:rsidRDefault="00000000">
      <w:pPr>
        <w:spacing w:after="0" w:line="240" w:lineRule="auto"/>
        <w:jc w:val="both"/>
        <w:rPr>
          <w:rFonts w:ascii="Marianne" w:hAnsi="Marianne"/>
        </w:rPr>
      </w:pPr>
      <w:r>
        <w:rPr>
          <w:rFonts w:ascii="Marianne" w:hAnsi="Marianne"/>
        </w:rPr>
        <w:t>•</w:t>
      </w:r>
      <w:r>
        <w:rPr>
          <w:rFonts w:ascii="Marianne" w:hAnsi="Marianne"/>
        </w:rPr>
        <w:tab/>
        <w:t xml:space="preserve">La définition des objectifs de performance </w:t>
      </w:r>
    </w:p>
    <w:p w14:paraId="0534D5DC" w14:textId="77777777" w:rsidR="00191A8F" w:rsidRDefault="00000000">
      <w:pPr>
        <w:spacing w:after="0" w:line="240" w:lineRule="auto"/>
        <w:jc w:val="both"/>
        <w:rPr>
          <w:rFonts w:ascii="Marianne" w:hAnsi="Marianne"/>
        </w:rPr>
      </w:pPr>
      <w:r>
        <w:rPr>
          <w:rFonts w:ascii="Marianne" w:hAnsi="Marianne"/>
        </w:rPr>
        <w:t>•</w:t>
      </w:r>
      <w:r>
        <w:rPr>
          <w:rFonts w:ascii="Marianne" w:hAnsi="Marianne"/>
        </w:rPr>
        <w:tab/>
        <w:t>L’évaluation du plan de mesure et vérification de la performance</w:t>
      </w:r>
    </w:p>
    <w:p w14:paraId="56FD110B" w14:textId="77777777" w:rsidR="00191A8F" w:rsidRDefault="00191A8F">
      <w:pPr>
        <w:spacing w:after="0" w:line="240" w:lineRule="auto"/>
        <w:jc w:val="both"/>
        <w:rPr>
          <w:rFonts w:ascii="Marianne" w:hAnsi="Marianne"/>
        </w:rPr>
      </w:pPr>
    </w:p>
    <w:p w14:paraId="4583AEB5" w14:textId="77777777" w:rsidR="00191A8F" w:rsidRDefault="00191A8F">
      <w:pPr>
        <w:spacing w:after="0" w:line="240" w:lineRule="auto"/>
        <w:jc w:val="both"/>
        <w:rPr>
          <w:rFonts w:ascii="ArialMT" w:hAnsi="ArialMT" w:cs="ArialMT"/>
          <w:sz w:val="21"/>
          <w:szCs w:val="21"/>
        </w:rPr>
      </w:pPr>
    </w:p>
    <w:p w14:paraId="67D23C2E" w14:textId="77777777" w:rsidR="00191A8F" w:rsidRDefault="00000000">
      <w:pPr>
        <w:pStyle w:val="Titre2"/>
        <w:jc w:val="both"/>
        <w:rPr>
          <w:rFonts w:ascii="Marianne" w:hAnsi="Marianne" w:cstheme="minorHAnsi"/>
          <w:sz w:val="22"/>
          <w:szCs w:val="22"/>
        </w:rPr>
      </w:pPr>
      <w:bookmarkStart w:id="2" w:name="_Toc200645438"/>
      <w:r>
        <w:rPr>
          <w:rFonts w:ascii="Marianne" w:hAnsi="Marianne" w:cstheme="minorHAnsi"/>
          <w:sz w:val="22"/>
          <w:szCs w:val="22"/>
        </w:rPr>
        <w:t>1.2- Le Contrat de Performance Énergétique</w:t>
      </w:r>
      <w:bookmarkEnd w:id="2"/>
    </w:p>
    <w:p w14:paraId="075B962B" w14:textId="77777777" w:rsidR="00191A8F" w:rsidRDefault="00000000">
      <w:pPr>
        <w:spacing w:after="0" w:line="240" w:lineRule="auto"/>
        <w:jc w:val="both"/>
        <w:rPr>
          <w:rFonts w:ascii="Marianne" w:hAnsi="Marianne"/>
        </w:rPr>
      </w:pPr>
      <w:r>
        <w:rPr>
          <w:rFonts w:ascii="Marianne" w:hAnsi="Marianne"/>
        </w:rPr>
        <w:t>Les Contrats de Performances Energétiques sont des démarches performancielles de garantie de résultats visant à améliorer l'efficacité énergétique, et un outil au service de la transition écologique. D’après le CEREMA « La maîtrise de la consommation d’énergie et donc l’ensemble des démarches promouvant l’efficacité énergétique sont indispensables pour lisser les dépenses et maintenir la compétitivité des entreprises et générer des effets positifs pour l’ensemble des personnes publiques.</w:t>
      </w:r>
    </w:p>
    <w:p w14:paraId="5F9CA0D9" w14:textId="77777777" w:rsidR="00191A8F" w:rsidRDefault="00191A8F">
      <w:pPr>
        <w:spacing w:after="0" w:line="240" w:lineRule="auto"/>
        <w:jc w:val="both"/>
        <w:rPr>
          <w:rFonts w:ascii="Marianne" w:hAnsi="Marianne"/>
        </w:rPr>
      </w:pPr>
    </w:p>
    <w:p w14:paraId="16D38BA3" w14:textId="77777777" w:rsidR="00191A8F" w:rsidRDefault="00000000">
      <w:pPr>
        <w:spacing w:after="0" w:line="240" w:lineRule="auto"/>
        <w:jc w:val="both"/>
        <w:rPr>
          <w:rFonts w:ascii="Marianne" w:hAnsi="Marianne"/>
        </w:rPr>
      </w:pPr>
      <w:r>
        <w:rPr>
          <w:rFonts w:ascii="Marianne" w:hAnsi="Marianne"/>
        </w:rPr>
        <w:t xml:space="preserve">Les CPE contiennent nécessairement les quatre éléments constitutifs suivants : </w:t>
      </w:r>
    </w:p>
    <w:p w14:paraId="4CA0A7C8" w14:textId="77777777" w:rsidR="00191A8F" w:rsidRDefault="00191A8F">
      <w:pPr>
        <w:spacing w:after="0" w:line="240" w:lineRule="auto"/>
        <w:jc w:val="both"/>
        <w:rPr>
          <w:rFonts w:ascii="Marianne" w:hAnsi="Marianne"/>
        </w:rPr>
      </w:pPr>
    </w:p>
    <w:p w14:paraId="4A518D01" w14:textId="77777777" w:rsidR="00191A8F" w:rsidRDefault="00000000">
      <w:pPr>
        <w:tabs>
          <w:tab w:val="num" w:pos="720"/>
        </w:tabs>
        <w:spacing w:after="0" w:line="240" w:lineRule="auto"/>
        <w:jc w:val="both"/>
        <w:rPr>
          <w:rFonts w:ascii="Marianne" w:hAnsi="Marianne"/>
        </w:rPr>
      </w:pPr>
      <w:r>
        <w:rPr>
          <w:rFonts w:ascii="Marianne" w:hAnsi="Marianne"/>
        </w:rPr>
        <w:t>L'OBJET : La diminution des consommations énergétiques (et non pas sur la réalisation de travaux, la fourniture de biens ou la prestation de services).</w:t>
      </w:r>
    </w:p>
    <w:p w14:paraId="359B480A" w14:textId="77777777" w:rsidR="00191A8F" w:rsidRDefault="00191A8F">
      <w:pPr>
        <w:tabs>
          <w:tab w:val="num" w:pos="720"/>
        </w:tabs>
        <w:spacing w:after="0" w:line="240" w:lineRule="auto"/>
        <w:jc w:val="both"/>
        <w:rPr>
          <w:rFonts w:ascii="Marianne" w:hAnsi="Marianne"/>
        </w:rPr>
      </w:pPr>
    </w:p>
    <w:p w14:paraId="212777F5" w14:textId="77777777" w:rsidR="00191A8F" w:rsidRDefault="00000000">
      <w:pPr>
        <w:tabs>
          <w:tab w:val="num" w:pos="720"/>
        </w:tabs>
        <w:spacing w:after="0" w:line="240" w:lineRule="auto"/>
        <w:jc w:val="both"/>
        <w:rPr>
          <w:rFonts w:ascii="Marianne" w:hAnsi="Marianne"/>
        </w:rPr>
      </w:pPr>
      <w:r>
        <w:rPr>
          <w:rFonts w:ascii="Marianne" w:hAnsi="Marianne"/>
        </w:rPr>
        <w:t xml:space="preserve">L'INVESTISSEMENT : matériel ou immatériel, porté par le maître d’ouvrage ou l’utilisateur, la société de services d’efficacité énergétique ou un tiers. </w:t>
      </w:r>
    </w:p>
    <w:p w14:paraId="0231C10F" w14:textId="77777777" w:rsidR="00191A8F" w:rsidRDefault="00191A8F">
      <w:pPr>
        <w:tabs>
          <w:tab w:val="num" w:pos="720"/>
        </w:tabs>
        <w:spacing w:after="0" w:line="240" w:lineRule="auto"/>
        <w:jc w:val="both"/>
        <w:rPr>
          <w:rFonts w:ascii="Marianne" w:hAnsi="Marianne"/>
        </w:rPr>
      </w:pPr>
    </w:p>
    <w:p w14:paraId="49C801C3" w14:textId="77777777" w:rsidR="00191A8F" w:rsidRDefault="00000000">
      <w:pPr>
        <w:tabs>
          <w:tab w:val="num" w:pos="720"/>
        </w:tabs>
        <w:spacing w:after="0" w:line="240" w:lineRule="auto"/>
        <w:jc w:val="both"/>
        <w:rPr>
          <w:rFonts w:ascii="Marianne" w:hAnsi="Marianne"/>
        </w:rPr>
      </w:pPr>
      <w:r>
        <w:rPr>
          <w:rFonts w:ascii="Marianne" w:hAnsi="Marianne"/>
        </w:rPr>
        <w:t xml:space="preserve">LA GARANTIE DE PERFORMANCE ÉNERGÉTIQUE : obligation de résultat afin de garantir, au moyen des investissements réalisés, la baisse des consommations d’énergie indiquée dans le contrat. Avec indemnités si écart entre la performance </w:t>
      </w:r>
      <w:r>
        <w:rPr>
          <w:rFonts w:ascii="Marianne" w:hAnsi="Marianne"/>
        </w:rPr>
        <w:lastRenderedPageBreak/>
        <w:t>contractuellement fixée et la performance effectivement constatée. Et intéressement si l’objectif est dépassé.</w:t>
      </w:r>
    </w:p>
    <w:p w14:paraId="18F88138" w14:textId="77777777" w:rsidR="00191A8F" w:rsidRDefault="00191A8F">
      <w:pPr>
        <w:tabs>
          <w:tab w:val="num" w:pos="720"/>
        </w:tabs>
        <w:spacing w:after="0" w:line="240" w:lineRule="auto"/>
        <w:jc w:val="both"/>
        <w:rPr>
          <w:rFonts w:ascii="Marianne" w:hAnsi="Marianne"/>
        </w:rPr>
      </w:pPr>
    </w:p>
    <w:p w14:paraId="1081F0A0" w14:textId="77777777" w:rsidR="00191A8F" w:rsidRDefault="00000000">
      <w:pPr>
        <w:tabs>
          <w:tab w:val="num" w:pos="720"/>
        </w:tabs>
        <w:spacing w:after="0" w:line="240" w:lineRule="auto"/>
        <w:jc w:val="both"/>
        <w:rPr>
          <w:rFonts w:ascii="Marianne" w:hAnsi="Marianne"/>
        </w:rPr>
      </w:pPr>
      <w:r>
        <w:rPr>
          <w:rFonts w:ascii="Marianne" w:hAnsi="Marianne"/>
        </w:rPr>
        <w:t xml:space="preserve">LA MESURE DES PERFORMANCES ÉNERGÉTIQUES : La GPE doit porter sur des données mesurables. L’engagement d’amélioration de la performance énergétique fait l’objet de mesures et de vérifications pendant la durée du contrat. </w:t>
      </w:r>
    </w:p>
    <w:p w14:paraId="63F8F534" w14:textId="77777777" w:rsidR="00191A8F" w:rsidRDefault="00191A8F">
      <w:pPr>
        <w:tabs>
          <w:tab w:val="num" w:pos="720"/>
        </w:tabs>
        <w:spacing w:after="0" w:line="240" w:lineRule="auto"/>
        <w:jc w:val="both"/>
        <w:rPr>
          <w:rFonts w:ascii="Marianne" w:hAnsi="Marianne"/>
        </w:rPr>
      </w:pPr>
    </w:p>
    <w:p w14:paraId="60E3A5E1" w14:textId="77777777" w:rsidR="00191A8F" w:rsidRDefault="00000000">
      <w:pPr>
        <w:tabs>
          <w:tab w:val="num" w:pos="720"/>
        </w:tabs>
        <w:spacing w:after="0" w:line="240" w:lineRule="auto"/>
        <w:jc w:val="both"/>
        <w:rPr>
          <w:rFonts w:ascii="Marianne" w:hAnsi="Marianne"/>
          <w:i/>
          <w:iCs/>
        </w:rPr>
      </w:pPr>
      <w:r>
        <w:rPr>
          <w:rFonts w:ascii="Marianne" w:hAnsi="Marianne"/>
          <w:i/>
          <w:iCs/>
        </w:rPr>
        <w:t xml:space="preserve">Exclusion : Les travaux d’aménagement intérieur visant à l’adaptation du bâtiment à son usage sont exclus du périmètre du CPE. </w:t>
      </w:r>
    </w:p>
    <w:p w14:paraId="185F8859" w14:textId="77777777" w:rsidR="00191A8F" w:rsidRDefault="00191A8F" w:rsidP="000B473A">
      <w:pPr>
        <w:jc w:val="both"/>
      </w:pPr>
    </w:p>
    <w:p w14:paraId="23FE8F7B" w14:textId="77777777" w:rsidR="00191A8F" w:rsidRDefault="00000000">
      <w:pPr>
        <w:pStyle w:val="Titre2"/>
        <w:jc w:val="both"/>
        <w:rPr>
          <w:rFonts w:ascii="Marianne" w:hAnsi="Marianne" w:cstheme="minorHAnsi"/>
          <w:sz w:val="22"/>
          <w:szCs w:val="22"/>
        </w:rPr>
      </w:pPr>
      <w:bookmarkStart w:id="3" w:name="_Toc200645439"/>
      <w:r>
        <w:rPr>
          <w:rFonts w:ascii="Marianne" w:hAnsi="Marianne" w:cstheme="minorHAnsi"/>
          <w:sz w:val="22"/>
          <w:szCs w:val="22"/>
        </w:rPr>
        <w:t>1.3- Objectifs de l’Appel à projet</w:t>
      </w:r>
      <w:bookmarkEnd w:id="3"/>
    </w:p>
    <w:p w14:paraId="77D330A8" w14:textId="77777777" w:rsidR="00191A8F" w:rsidRDefault="00000000">
      <w:pPr>
        <w:jc w:val="both"/>
        <w:rPr>
          <w:rFonts w:ascii="Marianne" w:hAnsi="Marianne"/>
        </w:rPr>
      </w:pPr>
      <w:r>
        <w:rPr>
          <w:rFonts w:ascii="Marianne" w:hAnsi="Marianne"/>
        </w:rPr>
        <w:t xml:space="preserve">L’objectif principal de cet appel à projet est de permettre aux établissements de s’engager dans la rénovation énergétique de leurs bâtiments à grande échelle et sur des objectifs forts. </w:t>
      </w:r>
    </w:p>
    <w:p w14:paraId="7BFE881A" w14:textId="77777777" w:rsidR="00191A8F" w:rsidRDefault="00000000">
      <w:pPr>
        <w:jc w:val="both"/>
        <w:rPr>
          <w:rFonts w:ascii="Marianne" w:hAnsi="Marianne"/>
        </w:rPr>
      </w:pPr>
      <w:r>
        <w:rPr>
          <w:rFonts w:ascii="Marianne" w:hAnsi="Marianne"/>
        </w:rPr>
        <w:t>Aussi les ARS ont retenu au titre de la première vague 2025 le cadre suivant :</w:t>
      </w:r>
    </w:p>
    <w:p w14:paraId="6EB83D03" w14:textId="77777777" w:rsidR="00191A8F" w:rsidRDefault="00000000">
      <w:pPr>
        <w:jc w:val="both"/>
        <w:rPr>
          <w:rFonts w:ascii="Marianne" w:hAnsi="Marianne"/>
        </w:rPr>
      </w:pPr>
      <w:r>
        <w:rPr>
          <w:rFonts w:ascii="Marianne" w:hAnsi="Marianne"/>
        </w:rPr>
        <w:t>- Recours à des Contrats de Performance Énergétique Globaux comprenant donc des travaux lourds sur l’enveloppe du bâtiment, le recours potentiel aux Énergies Renouvelables et un suivi contractuel minimum de 8 ans par un AMOA ;</w:t>
      </w:r>
    </w:p>
    <w:p w14:paraId="2D0987C3" w14:textId="77777777" w:rsidR="00191A8F" w:rsidRDefault="00000000">
      <w:pPr>
        <w:jc w:val="both"/>
        <w:rPr>
          <w:rFonts w:ascii="Marianne" w:hAnsi="Marianne"/>
        </w:rPr>
      </w:pPr>
      <w:r>
        <w:rPr>
          <w:rFonts w:ascii="Marianne" w:hAnsi="Marianne"/>
        </w:rPr>
        <w:t>- Connaissance suffisante du patrimoine visant des bâtiments fonctionnellement exploitables ou réexploitables ultérieurement ;</w:t>
      </w:r>
    </w:p>
    <w:p w14:paraId="61AA1E6D" w14:textId="77777777" w:rsidR="00191A8F" w:rsidRDefault="00000000">
      <w:pPr>
        <w:jc w:val="both"/>
        <w:rPr>
          <w:rFonts w:ascii="Marianne" w:hAnsi="Marianne"/>
        </w:rPr>
      </w:pPr>
      <w:r>
        <w:rPr>
          <w:rFonts w:ascii="Marianne" w:hAnsi="Marianne"/>
        </w:rPr>
        <w:t>- Objectif de réduction de 60% d'ici 2050 de la consommation énergétique finale du bâtiment, par rapport à une année de référence.</w:t>
      </w:r>
    </w:p>
    <w:p w14:paraId="565E2C97" w14:textId="77777777" w:rsidR="00191A8F" w:rsidRDefault="00191A8F">
      <w:pPr>
        <w:spacing w:line="240" w:lineRule="auto"/>
        <w:jc w:val="both"/>
        <w:rPr>
          <w:rFonts w:ascii="Marianne" w:hAnsi="Marianne"/>
          <w:strike/>
        </w:rPr>
      </w:pPr>
    </w:p>
    <w:p w14:paraId="75E17365" w14:textId="77777777" w:rsidR="00191A8F" w:rsidRDefault="00000000">
      <w:pPr>
        <w:pStyle w:val="Titre1"/>
        <w:numPr>
          <w:ilvl w:val="0"/>
          <w:numId w:val="1"/>
        </w:numPr>
        <w:jc w:val="both"/>
        <w:rPr>
          <w:rFonts w:ascii="Marianne" w:hAnsi="Marianne" w:cstheme="minorHAnsi"/>
          <w:sz w:val="22"/>
          <w:szCs w:val="22"/>
        </w:rPr>
      </w:pPr>
      <w:bookmarkStart w:id="4" w:name="_Toc200645440"/>
      <w:r>
        <w:rPr>
          <w:rFonts w:ascii="Marianne" w:hAnsi="Marianne" w:cstheme="minorHAnsi"/>
          <w:sz w:val="22"/>
          <w:szCs w:val="22"/>
        </w:rPr>
        <w:t>Cahier des charges</w:t>
      </w:r>
      <w:bookmarkEnd w:id="4"/>
      <w:r>
        <w:rPr>
          <w:rFonts w:ascii="Marianne" w:hAnsi="Marianne" w:cstheme="minorHAnsi"/>
          <w:sz w:val="22"/>
          <w:szCs w:val="22"/>
        </w:rPr>
        <w:t xml:space="preserve"> </w:t>
      </w:r>
    </w:p>
    <w:p w14:paraId="6514E206" w14:textId="77777777" w:rsidR="00191A8F" w:rsidRDefault="00000000">
      <w:pPr>
        <w:spacing w:after="0" w:line="240" w:lineRule="auto"/>
        <w:jc w:val="both"/>
        <w:rPr>
          <w:rFonts w:ascii="Marianne" w:hAnsi="Marianne"/>
          <w:b/>
        </w:rPr>
      </w:pPr>
      <w:r>
        <w:rPr>
          <w:rFonts w:ascii="Marianne" w:hAnsi="Marianne"/>
          <w:b/>
        </w:rPr>
        <w:t>Bâtiment(s) concerné(s)</w:t>
      </w:r>
    </w:p>
    <w:p w14:paraId="6D2FF597" w14:textId="77777777" w:rsidR="00191A8F" w:rsidRDefault="00000000">
      <w:pPr>
        <w:spacing w:after="0" w:line="240" w:lineRule="auto"/>
        <w:jc w:val="both"/>
        <w:rPr>
          <w:rFonts w:ascii="Marianne" w:hAnsi="Marianne"/>
        </w:rPr>
      </w:pPr>
      <w:r>
        <w:rPr>
          <w:rFonts w:ascii="Marianne" w:hAnsi="Marianne"/>
        </w:rPr>
        <w:t xml:space="preserve">Le ou les bâtiment(s) concerné(s) par la candidature devra/devront être un bien propre de l’établissement ou bénéficiant d’un régime d’occupation confiant les obligations du propriétaire à l’établissement (durée minimum 20 ans). Le(s) bâtiment(s) doit/doivent être identifié(s) comme conservé(s) dans le schéma directeur immobilier de l’établissement. </w:t>
      </w:r>
    </w:p>
    <w:p w14:paraId="63ED93E5" w14:textId="77777777" w:rsidR="00191A8F" w:rsidRDefault="00000000">
      <w:pPr>
        <w:spacing w:after="0" w:line="240" w:lineRule="auto"/>
        <w:jc w:val="both"/>
        <w:rPr>
          <w:rFonts w:ascii="Marianne" w:hAnsi="Marianne"/>
        </w:rPr>
      </w:pPr>
      <w:r>
        <w:rPr>
          <w:rFonts w:ascii="Marianne" w:hAnsi="Marianne"/>
        </w:rPr>
        <w:t xml:space="preserve">L’établissement doit avoir établi : </w:t>
      </w:r>
    </w:p>
    <w:p w14:paraId="2C4FA3B7" w14:textId="77777777" w:rsidR="00191A8F" w:rsidRDefault="00000000">
      <w:pPr>
        <w:pStyle w:val="Paragraphedeliste"/>
        <w:numPr>
          <w:ilvl w:val="0"/>
          <w:numId w:val="25"/>
        </w:numPr>
        <w:spacing w:after="0" w:line="240" w:lineRule="auto"/>
        <w:jc w:val="both"/>
        <w:rPr>
          <w:rFonts w:ascii="Marianne" w:hAnsi="Marianne"/>
        </w:rPr>
      </w:pPr>
      <w:r>
        <w:rPr>
          <w:rFonts w:ascii="Marianne" w:hAnsi="Marianne"/>
        </w:rPr>
        <w:t>Un diagnostic technique démontrant que ce(s) bâtiment(s) présente(</w:t>
      </w:r>
      <w:proofErr w:type="spellStart"/>
      <w:r>
        <w:rPr>
          <w:rFonts w:ascii="Marianne" w:hAnsi="Marianne"/>
        </w:rPr>
        <w:t>ent</w:t>
      </w:r>
      <w:proofErr w:type="spellEnd"/>
      <w:r>
        <w:rPr>
          <w:rFonts w:ascii="Marianne" w:hAnsi="Marianne"/>
        </w:rPr>
        <w:t>) une structure viable à long terme ;</w:t>
      </w:r>
    </w:p>
    <w:p w14:paraId="06487010" w14:textId="77777777" w:rsidR="00191A8F" w:rsidRDefault="00000000">
      <w:pPr>
        <w:pStyle w:val="Paragraphedeliste"/>
        <w:numPr>
          <w:ilvl w:val="0"/>
          <w:numId w:val="25"/>
        </w:numPr>
        <w:spacing w:after="0" w:line="240" w:lineRule="auto"/>
        <w:jc w:val="both"/>
        <w:rPr>
          <w:rFonts w:ascii="Marianne" w:hAnsi="Marianne"/>
        </w:rPr>
      </w:pPr>
      <w:r>
        <w:rPr>
          <w:rFonts w:ascii="Marianne" w:hAnsi="Marianne"/>
        </w:rPr>
        <w:t xml:space="preserve">Un diagnostic fonctionnel démontrant de l’adaptation du bâtiment à l’usage ou de son réemploi possible. </w:t>
      </w:r>
    </w:p>
    <w:p w14:paraId="23FFBB5B" w14:textId="77777777" w:rsidR="00191A8F" w:rsidRDefault="00191A8F">
      <w:pPr>
        <w:spacing w:after="0" w:line="240" w:lineRule="auto"/>
        <w:jc w:val="both"/>
        <w:rPr>
          <w:rFonts w:ascii="Marianne" w:hAnsi="Marianne"/>
        </w:rPr>
      </w:pPr>
    </w:p>
    <w:p w14:paraId="24C3459C" w14:textId="77777777" w:rsidR="00191A8F" w:rsidRDefault="00000000">
      <w:pPr>
        <w:spacing w:after="0" w:line="240" w:lineRule="auto"/>
        <w:jc w:val="both"/>
        <w:rPr>
          <w:rFonts w:ascii="Marianne" w:hAnsi="Marianne"/>
        </w:rPr>
      </w:pPr>
      <w:r>
        <w:rPr>
          <w:rFonts w:ascii="Marianne" w:hAnsi="Marianne"/>
        </w:rPr>
        <w:t xml:space="preserve">Les périmètres physique et technique seront définis ou proposés en fonction de la connaissance du candidat. </w:t>
      </w:r>
    </w:p>
    <w:p w14:paraId="72524A4F" w14:textId="77777777" w:rsidR="00191A8F" w:rsidRDefault="00000000">
      <w:pPr>
        <w:spacing w:after="0" w:line="240" w:lineRule="auto"/>
        <w:jc w:val="both"/>
        <w:rPr>
          <w:rFonts w:ascii="Marianne" w:hAnsi="Marianne"/>
          <w:b/>
        </w:rPr>
      </w:pPr>
      <w:r>
        <w:rPr>
          <w:rFonts w:ascii="Marianne" w:hAnsi="Marianne"/>
          <w:b/>
        </w:rPr>
        <w:lastRenderedPageBreak/>
        <w:t>Équipe Projet</w:t>
      </w:r>
    </w:p>
    <w:p w14:paraId="59F9B454" w14:textId="77777777" w:rsidR="00191A8F" w:rsidRDefault="00000000">
      <w:pPr>
        <w:spacing w:after="0" w:line="240" w:lineRule="auto"/>
        <w:jc w:val="both"/>
        <w:rPr>
          <w:rFonts w:ascii="Marianne" w:hAnsi="Marianne"/>
        </w:rPr>
      </w:pPr>
      <w:r>
        <w:rPr>
          <w:rFonts w:ascii="Marianne" w:hAnsi="Marianne"/>
        </w:rPr>
        <w:t xml:space="preserve">L’établissement identifiera une équipe projet permettant d’aborder pleinement ce type de contrat complexe avec à minima : </w:t>
      </w:r>
    </w:p>
    <w:p w14:paraId="5B87EFA1" w14:textId="77777777" w:rsidR="00191A8F" w:rsidRPr="000B473A" w:rsidRDefault="00000000">
      <w:pPr>
        <w:pStyle w:val="Paragraphedeliste"/>
        <w:numPr>
          <w:ilvl w:val="0"/>
          <w:numId w:val="25"/>
        </w:numPr>
        <w:spacing w:after="0" w:line="240" w:lineRule="auto"/>
        <w:jc w:val="both"/>
        <w:rPr>
          <w:rFonts w:ascii="Marianne" w:hAnsi="Marianne"/>
        </w:rPr>
      </w:pPr>
      <w:r w:rsidRPr="000B473A">
        <w:rPr>
          <w:rFonts w:ascii="Marianne" w:hAnsi="Marianne"/>
        </w:rPr>
        <w:t xml:space="preserve">Un membre </w:t>
      </w:r>
      <w:r w:rsidRPr="000B473A">
        <w:rPr>
          <w:rFonts w:ascii="Arial" w:eastAsia="Times New Roman" w:hAnsi="Arial" w:cs="Arial"/>
          <w:color w:val="000000" w:themeColor="text1"/>
          <w:lang w:eastAsia="fr-FR"/>
        </w:rPr>
        <w:t xml:space="preserve">de la direction ayant pouvoir d’engagement pour </w:t>
      </w:r>
      <w:r w:rsidRPr="000B473A">
        <w:rPr>
          <w:rFonts w:ascii="Marianne" w:hAnsi="Marianne"/>
        </w:rPr>
        <w:t>l’établissement,</w:t>
      </w:r>
    </w:p>
    <w:p w14:paraId="0900C9A9" w14:textId="77777777" w:rsidR="00191A8F" w:rsidRPr="000B473A" w:rsidRDefault="00000000">
      <w:pPr>
        <w:pStyle w:val="Paragraphedeliste"/>
        <w:numPr>
          <w:ilvl w:val="0"/>
          <w:numId w:val="25"/>
        </w:numPr>
        <w:spacing w:after="0" w:line="240" w:lineRule="auto"/>
        <w:jc w:val="both"/>
        <w:rPr>
          <w:rFonts w:ascii="Marianne" w:hAnsi="Marianne"/>
        </w:rPr>
      </w:pPr>
      <w:r w:rsidRPr="000B473A">
        <w:rPr>
          <w:rFonts w:ascii="Marianne" w:hAnsi="Marianne"/>
        </w:rPr>
        <w:t>Un membre ayant une vision et des compétences financières et juridiques,</w:t>
      </w:r>
    </w:p>
    <w:p w14:paraId="7E450785" w14:textId="77777777" w:rsidR="00191A8F" w:rsidRPr="000B473A" w:rsidRDefault="00000000">
      <w:pPr>
        <w:pStyle w:val="Paragraphedeliste"/>
        <w:numPr>
          <w:ilvl w:val="0"/>
          <w:numId w:val="25"/>
        </w:numPr>
        <w:spacing w:after="0" w:line="240" w:lineRule="auto"/>
        <w:jc w:val="both"/>
        <w:rPr>
          <w:rFonts w:ascii="Marianne" w:hAnsi="Marianne"/>
        </w:rPr>
      </w:pPr>
      <w:r w:rsidRPr="000B473A">
        <w:rPr>
          <w:rFonts w:ascii="Marianne" w:hAnsi="Marianne"/>
        </w:rPr>
        <w:t>Un membre ayant une vision et des compétences technique, énergétique et conduite de travaux.</w:t>
      </w:r>
    </w:p>
    <w:p w14:paraId="393E832F" w14:textId="77777777" w:rsidR="00191A8F" w:rsidRDefault="00000000">
      <w:pPr>
        <w:spacing w:after="0" w:line="240" w:lineRule="auto"/>
        <w:jc w:val="both"/>
        <w:rPr>
          <w:rFonts w:ascii="Marianne" w:hAnsi="Marianne"/>
        </w:rPr>
      </w:pPr>
      <w:r>
        <w:rPr>
          <w:rFonts w:ascii="Marianne" w:hAnsi="Marianne"/>
        </w:rPr>
        <w:t xml:space="preserve">L’ensemble de l’équipe pourra être amenée suivre des formations pour lui permettre d’acquérir les compétences nécessaires à la mise en place et au suivi d’un CPE. </w:t>
      </w:r>
    </w:p>
    <w:p w14:paraId="2E3B844E" w14:textId="77777777" w:rsidR="00191A8F" w:rsidRDefault="00191A8F">
      <w:pPr>
        <w:spacing w:after="0" w:line="240" w:lineRule="auto"/>
        <w:jc w:val="both"/>
        <w:rPr>
          <w:rFonts w:ascii="Marianne" w:hAnsi="Marianne"/>
          <w:b/>
        </w:rPr>
      </w:pPr>
    </w:p>
    <w:p w14:paraId="3C4F8332" w14:textId="77777777" w:rsidR="00191A8F" w:rsidRDefault="00000000">
      <w:pPr>
        <w:spacing w:after="0" w:line="240" w:lineRule="auto"/>
        <w:jc w:val="both"/>
        <w:rPr>
          <w:rFonts w:ascii="Marianne" w:hAnsi="Marianne"/>
          <w:b/>
        </w:rPr>
      </w:pPr>
      <w:r>
        <w:rPr>
          <w:rFonts w:ascii="Marianne" w:hAnsi="Marianne"/>
          <w:b/>
        </w:rPr>
        <w:t>Éléments divers</w:t>
      </w:r>
    </w:p>
    <w:p w14:paraId="5168ED5B" w14:textId="77777777" w:rsidR="00191A8F" w:rsidRDefault="00000000">
      <w:pPr>
        <w:spacing w:after="0" w:line="240" w:lineRule="auto"/>
        <w:jc w:val="both"/>
        <w:rPr>
          <w:rFonts w:ascii="Marianne" w:hAnsi="Marianne"/>
        </w:rPr>
      </w:pPr>
      <w:r>
        <w:rPr>
          <w:rFonts w:ascii="Marianne" w:hAnsi="Marianne"/>
        </w:rPr>
        <w:t xml:space="preserve">En fonction de l’avancement du candidat, il sera présenté tous les éléments qui aurait pu être identifiés ou pressentis dans le cadre du CPE envisagé. L’objectif de la récolte de ces éléments est de jauger le niveau de maturité du candidat dans sa démarche. </w:t>
      </w:r>
    </w:p>
    <w:p w14:paraId="41668DE1" w14:textId="77777777" w:rsidR="00191A8F" w:rsidRDefault="00191A8F">
      <w:pPr>
        <w:spacing w:after="0" w:line="240" w:lineRule="auto"/>
        <w:jc w:val="both"/>
        <w:rPr>
          <w:rFonts w:ascii="Marianne" w:hAnsi="Marianne"/>
        </w:rPr>
      </w:pPr>
    </w:p>
    <w:p w14:paraId="165DD811" w14:textId="77777777" w:rsidR="00191A8F" w:rsidRDefault="00000000">
      <w:pPr>
        <w:pStyle w:val="Titre1"/>
        <w:numPr>
          <w:ilvl w:val="0"/>
          <w:numId w:val="1"/>
        </w:numPr>
        <w:jc w:val="both"/>
        <w:rPr>
          <w:rFonts w:ascii="Marianne" w:hAnsi="Marianne" w:cstheme="minorHAnsi"/>
          <w:sz w:val="22"/>
          <w:szCs w:val="22"/>
        </w:rPr>
      </w:pPr>
      <w:bookmarkStart w:id="5" w:name="_Toc200645441"/>
      <w:r>
        <w:rPr>
          <w:rFonts w:ascii="Marianne" w:hAnsi="Marianne" w:cstheme="minorHAnsi"/>
          <w:sz w:val="22"/>
          <w:szCs w:val="22"/>
        </w:rPr>
        <w:t>Modalités de participation</w:t>
      </w:r>
      <w:bookmarkEnd w:id="5"/>
    </w:p>
    <w:p w14:paraId="2936CA29" w14:textId="77777777" w:rsidR="00191A8F" w:rsidRDefault="00000000">
      <w:pPr>
        <w:spacing w:after="0" w:line="240" w:lineRule="auto"/>
        <w:jc w:val="both"/>
        <w:rPr>
          <w:rFonts w:ascii="Marianne" w:hAnsi="Marianne"/>
        </w:rPr>
      </w:pPr>
      <w:r>
        <w:rPr>
          <w:rFonts w:ascii="Marianne" w:hAnsi="Marianne"/>
        </w:rPr>
        <w:t xml:space="preserve">Le nombre de projets présentés par établissement n’est pas plafonné. </w:t>
      </w:r>
    </w:p>
    <w:p w14:paraId="35F65366" w14:textId="77777777" w:rsidR="00191A8F" w:rsidRDefault="00000000">
      <w:pPr>
        <w:spacing w:after="0" w:line="240" w:lineRule="auto"/>
        <w:jc w:val="both"/>
        <w:rPr>
          <w:rFonts w:ascii="Marianne" w:hAnsi="Marianne"/>
        </w:rPr>
      </w:pPr>
      <w:r>
        <w:rPr>
          <w:rFonts w:ascii="Marianne" w:hAnsi="Marianne"/>
        </w:rPr>
        <w:t xml:space="preserve">Le traitement de plusieurs bâtiments sur un seul site géographique est équivalent à un projet. </w:t>
      </w:r>
    </w:p>
    <w:p w14:paraId="45EA34FD" w14:textId="77777777" w:rsidR="00191A8F" w:rsidRDefault="00000000">
      <w:pPr>
        <w:spacing w:after="0" w:line="240" w:lineRule="auto"/>
        <w:jc w:val="both"/>
        <w:rPr>
          <w:rFonts w:ascii="Marianne" w:hAnsi="Marianne"/>
        </w:rPr>
      </w:pPr>
      <w:r>
        <w:rPr>
          <w:rFonts w:ascii="Marianne" w:hAnsi="Marianne"/>
        </w:rPr>
        <w:t>Les candidats sont à ce stade libre de dissocier des sites ou des bâtiments isolés.</w:t>
      </w:r>
    </w:p>
    <w:p w14:paraId="44FFABF2" w14:textId="77777777" w:rsidR="00191A8F" w:rsidRDefault="00191A8F">
      <w:pPr>
        <w:spacing w:after="0" w:line="240" w:lineRule="auto"/>
        <w:jc w:val="both"/>
        <w:rPr>
          <w:rFonts w:ascii="Marianne" w:hAnsi="Marianne"/>
        </w:rPr>
      </w:pPr>
    </w:p>
    <w:p w14:paraId="1F743B2F" w14:textId="77777777" w:rsidR="00191A8F" w:rsidRDefault="00000000">
      <w:pPr>
        <w:jc w:val="both"/>
        <w:rPr>
          <w:rFonts w:ascii="Marianne" w:hAnsi="Marianne"/>
          <w:u w:val="single"/>
        </w:rPr>
      </w:pPr>
      <w:r>
        <w:rPr>
          <w:rFonts w:ascii="Marianne" w:hAnsi="Marianne"/>
          <w:u w:val="single"/>
        </w:rPr>
        <w:t xml:space="preserve">Recevabilité : </w:t>
      </w:r>
    </w:p>
    <w:p w14:paraId="490F2C80" w14:textId="77777777" w:rsidR="00191A8F" w:rsidRDefault="00000000">
      <w:pPr>
        <w:jc w:val="both"/>
        <w:rPr>
          <w:rFonts w:ascii="Marianne" w:hAnsi="Marianne"/>
        </w:rPr>
      </w:pPr>
      <w:r>
        <w:rPr>
          <w:rFonts w:ascii="Marianne" w:hAnsi="Marianne"/>
        </w:rPr>
        <w:t xml:space="preserve">Le projet est soumis dans les délais imposés au format demandé. L’ensemble des documents (y compris les signatures) doivent être complétés dans le dossier. </w:t>
      </w:r>
    </w:p>
    <w:p w14:paraId="662B0DB4" w14:textId="77777777" w:rsidR="00191A8F" w:rsidRDefault="00000000">
      <w:pPr>
        <w:jc w:val="both"/>
        <w:rPr>
          <w:rFonts w:ascii="Marianne" w:hAnsi="Marianne"/>
          <w:u w:val="single"/>
        </w:rPr>
      </w:pPr>
      <w:r>
        <w:rPr>
          <w:rFonts w:ascii="Marianne" w:hAnsi="Marianne"/>
          <w:u w:val="single"/>
        </w:rPr>
        <w:t xml:space="preserve">Éligibilité : </w:t>
      </w:r>
    </w:p>
    <w:p w14:paraId="1CB99F1D" w14:textId="77777777" w:rsidR="00191A8F" w:rsidRDefault="00000000">
      <w:pPr>
        <w:jc w:val="both"/>
        <w:rPr>
          <w:rFonts w:ascii="Marianne" w:hAnsi="Marianne"/>
        </w:rPr>
      </w:pPr>
      <w:r>
        <w:rPr>
          <w:rFonts w:ascii="Marianne" w:hAnsi="Marianne"/>
        </w:rPr>
        <w:t xml:space="preserve">Pour être éligible, le projet doit répondre aux conditions suivantes : </w:t>
      </w:r>
    </w:p>
    <w:p w14:paraId="1819E485" w14:textId="77777777" w:rsidR="00191A8F" w:rsidRDefault="00000000">
      <w:pPr>
        <w:pStyle w:val="Paragraphedeliste"/>
        <w:numPr>
          <w:ilvl w:val="0"/>
          <w:numId w:val="9"/>
        </w:numPr>
        <w:jc w:val="both"/>
        <w:rPr>
          <w:rFonts w:ascii="Marianne" w:hAnsi="Marianne"/>
        </w:rPr>
      </w:pPr>
      <w:r>
        <w:rPr>
          <w:rFonts w:ascii="Marianne" w:hAnsi="Marianne"/>
        </w:rPr>
        <w:t>Répondre aux objectifs du présent appel à projet</w:t>
      </w:r>
    </w:p>
    <w:p w14:paraId="346072A5" w14:textId="77777777" w:rsidR="00191A8F" w:rsidRDefault="00000000">
      <w:pPr>
        <w:pStyle w:val="Paragraphedeliste"/>
        <w:numPr>
          <w:ilvl w:val="0"/>
          <w:numId w:val="9"/>
        </w:numPr>
        <w:jc w:val="both"/>
        <w:rPr>
          <w:rFonts w:ascii="Marianne" w:hAnsi="Marianne"/>
        </w:rPr>
      </w:pPr>
      <w:r>
        <w:rPr>
          <w:rFonts w:ascii="Marianne" w:hAnsi="Marianne"/>
        </w:rPr>
        <w:t>Constituer un engagement formel pour la période du CPE à :</w:t>
      </w:r>
    </w:p>
    <w:p w14:paraId="731B03D9" w14:textId="77777777" w:rsidR="00191A8F" w:rsidRDefault="00000000">
      <w:pPr>
        <w:pStyle w:val="Paragraphedeliste"/>
        <w:numPr>
          <w:ilvl w:val="1"/>
          <w:numId w:val="9"/>
        </w:numPr>
        <w:jc w:val="both"/>
        <w:rPr>
          <w:rFonts w:ascii="Marianne" w:hAnsi="Marianne"/>
        </w:rPr>
      </w:pPr>
      <w:r>
        <w:rPr>
          <w:rFonts w:ascii="Marianne" w:hAnsi="Marianne"/>
        </w:rPr>
        <w:t>Assurer toute la visibilité auprès du grand public sur l’accompagnement proposé complété par la suite par les exigences des financeurs ;</w:t>
      </w:r>
    </w:p>
    <w:p w14:paraId="6E6F88DA" w14:textId="77777777" w:rsidR="00191A8F" w:rsidRDefault="00000000">
      <w:pPr>
        <w:pStyle w:val="Paragraphedeliste"/>
        <w:numPr>
          <w:ilvl w:val="1"/>
          <w:numId w:val="9"/>
        </w:numPr>
        <w:jc w:val="both"/>
        <w:rPr>
          <w:rFonts w:ascii="Marianne" w:hAnsi="Marianne"/>
        </w:rPr>
      </w:pPr>
      <w:r>
        <w:rPr>
          <w:rFonts w:ascii="Marianne" w:hAnsi="Marianne"/>
        </w:rPr>
        <w:t>Donner accès le cas échéant à tout document, toute pièce utile ou tout résultat ;</w:t>
      </w:r>
    </w:p>
    <w:p w14:paraId="47E1F820" w14:textId="77777777" w:rsidR="00191A8F" w:rsidRDefault="00000000">
      <w:pPr>
        <w:pStyle w:val="Paragraphedeliste"/>
        <w:numPr>
          <w:ilvl w:val="1"/>
          <w:numId w:val="9"/>
        </w:numPr>
        <w:jc w:val="both"/>
        <w:rPr>
          <w:rFonts w:ascii="Marianne" w:hAnsi="Marianne"/>
        </w:rPr>
      </w:pPr>
      <w:r>
        <w:rPr>
          <w:rFonts w:ascii="Marianne" w:hAnsi="Marianne"/>
        </w:rPr>
        <w:t>Se soumettre à toutes les demandes d’enquête ou bilan, formulées par l’Agence Régionale de Santé ;</w:t>
      </w:r>
    </w:p>
    <w:p w14:paraId="42F8B0E0" w14:textId="77777777" w:rsidR="00191A8F" w:rsidRDefault="00000000">
      <w:pPr>
        <w:pStyle w:val="Paragraphedeliste"/>
        <w:numPr>
          <w:ilvl w:val="1"/>
          <w:numId w:val="9"/>
        </w:numPr>
        <w:jc w:val="both"/>
        <w:rPr>
          <w:rFonts w:ascii="Marianne" w:hAnsi="Marianne"/>
        </w:rPr>
      </w:pPr>
      <w:r>
        <w:rPr>
          <w:rFonts w:ascii="Marianne" w:hAnsi="Marianne"/>
        </w:rPr>
        <w:t>Respecter les règles relatives à la commande publique pour les établissements qui y sont soumis ;</w:t>
      </w:r>
    </w:p>
    <w:p w14:paraId="59A665A1" w14:textId="77777777" w:rsidR="00191A8F" w:rsidRDefault="00000000">
      <w:pPr>
        <w:pStyle w:val="Paragraphedeliste"/>
        <w:numPr>
          <w:ilvl w:val="1"/>
          <w:numId w:val="9"/>
        </w:numPr>
        <w:jc w:val="both"/>
        <w:rPr>
          <w:rFonts w:ascii="Marianne" w:hAnsi="Marianne"/>
        </w:rPr>
      </w:pPr>
      <w:r>
        <w:rPr>
          <w:rFonts w:ascii="Marianne" w:hAnsi="Marianne"/>
        </w:rPr>
        <w:t>S’engager à intégrer les échanges avec les autres candidats et partager son expérience.</w:t>
      </w:r>
    </w:p>
    <w:p w14:paraId="5F95ACAD" w14:textId="77777777" w:rsidR="00191A8F" w:rsidRDefault="00000000">
      <w:pPr>
        <w:spacing w:line="240" w:lineRule="auto"/>
        <w:jc w:val="both"/>
        <w:rPr>
          <w:rFonts w:ascii="Marianne" w:hAnsi="Marianne"/>
          <w:u w:val="single"/>
        </w:rPr>
      </w:pPr>
      <w:r>
        <w:rPr>
          <w:rFonts w:ascii="Marianne" w:hAnsi="Marianne"/>
          <w:u w:val="single"/>
        </w:rPr>
        <w:lastRenderedPageBreak/>
        <w:t>Composition du dossier de candidature :</w:t>
      </w:r>
    </w:p>
    <w:p w14:paraId="0C0E44DD" w14:textId="77777777" w:rsidR="00191A8F" w:rsidRDefault="00000000">
      <w:pPr>
        <w:spacing w:line="240" w:lineRule="auto"/>
        <w:jc w:val="both"/>
        <w:rPr>
          <w:rFonts w:ascii="Marianne" w:hAnsi="Marianne"/>
        </w:rPr>
      </w:pPr>
      <w:r>
        <w:rPr>
          <w:rFonts w:ascii="Marianne" w:hAnsi="Marianne"/>
        </w:rPr>
        <w:t>Dossier de candidature complet y compris annexes. Les documents techniques à identifier seront vus après la sélection des candidats.</w:t>
      </w:r>
    </w:p>
    <w:p w14:paraId="1A7487DD" w14:textId="77777777" w:rsidR="00191A8F" w:rsidRDefault="00191A8F">
      <w:pPr>
        <w:jc w:val="both"/>
        <w:rPr>
          <w:rFonts w:ascii="Marianne" w:hAnsi="Marianne"/>
        </w:rPr>
      </w:pPr>
    </w:p>
    <w:p w14:paraId="038CD7E5" w14:textId="77777777" w:rsidR="00191A8F" w:rsidRDefault="00000000">
      <w:pPr>
        <w:pStyle w:val="Titre1"/>
        <w:numPr>
          <w:ilvl w:val="0"/>
          <w:numId w:val="1"/>
        </w:numPr>
        <w:jc w:val="both"/>
        <w:rPr>
          <w:rFonts w:ascii="Marianne" w:hAnsi="Marianne" w:cstheme="minorHAnsi"/>
          <w:sz w:val="22"/>
          <w:szCs w:val="22"/>
        </w:rPr>
      </w:pPr>
      <w:bookmarkStart w:id="6" w:name="_Toc200645442"/>
      <w:r>
        <w:rPr>
          <w:rFonts w:ascii="Marianne" w:hAnsi="Marianne" w:cstheme="minorHAnsi"/>
          <w:sz w:val="22"/>
          <w:szCs w:val="22"/>
        </w:rPr>
        <w:t>Modalités de sélection et calendrier</w:t>
      </w:r>
      <w:bookmarkEnd w:id="6"/>
    </w:p>
    <w:p w14:paraId="4D431EEB" w14:textId="77777777" w:rsidR="00191A8F" w:rsidRDefault="00191A8F">
      <w:pPr>
        <w:jc w:val="both"/>
        <w:rPr>
          <w:rFonts w:ascii="Marianne" w:hAnsi="Marianne"/>
        </w:rPr>
      </w:pPr>
    </w:p>
    <w:p w14:paraId="2305F617" w14:textId="77777777" w:rsidR="00191A8F" w:rsidRDefault="00000000" w:rsidP="000B473A">
      <w:pPr>
        <w:pStyle w:val="Titre2"/>
        <w:jc w:val="both"/>
        <w:rPr>
          <w:rFonts w:ascii="Marianne" w:hAnsi="Marianne"/>
          <w:color w:val="365F91"/>
          <w:sz w:val="22"/>
        </w:rPr>
      </w:pPr>
      <w:bookmarkStart w:id="7" w:name="_Toc200645443"/>
      <w:r>
        <w:rPr>
          <w:rFonts w:ascii="Marianne" w:hAnsi="Marianne"/>
          <w:color w:val="365F91"/>
          <w:sz w:val="22"/>
        </w:rPr>
        <w:t>4.1- Procédure de choix et notification</w:t>
      </w:r>
      <w:bookmarkEnd w:id="7"/>
    </w:p>
    <w:p w14:paraId="36BE863B" w14:textId="77777777" w:rsidR="00191A8F" w:rsidRDefault="00000000" w:rsidP="000B473A">
      <w:pPr>
        <w:jc w:val="both"/>
        <w:rPr>
          <w:rFonts w:ascii="Marianne" w:hAnsi="Marianne"/>
        </w:rPr>
      </w:pPr>
      <w:r>
        <w:rPr>
          <w:rFonts w:ascii="Marianne" w:hAnsi="Marianne"/>
        </w:rPr>
        <w:t xml:space="preserve">La sélection des lauréats reposera sur les éléments demandés dans le dossier de candidature. L’ARS se réserve le droit d’échanger avec les candidats pour affiner leur dossier. </w:t>
      </w:r>
    </w:p>
    <w:p w14:paraId="46304FEA" w14:textId="77777777" w:rsidR="00191A8F" w:rsidRDefault="00000000" w:rsidP="000B473A">
      <w:pPr>
        <w:jc w:val="both"/>
        <w:rPr>
          <w:rFonts w:ascii="Marianne" w:hAnsi="Marianne" w:cs="Arial"/>
        </w:rPr>
      </w:pPr>
      <w:r>
        <w:rPr>
          <w:rFonts w:ascii="Marianne" w:hAnsi="Marianne" w:cs="Arial"/>
        </w:rPr>
        <w:t>A l’issue du processus de sélection régionale, l’ARS informera par courriel les porteurs de projets, soit de leur sélection, soit de la suite négative donnée à leur demande.</w:t>
      </w:r>
    </w:p>
    <w:p w14:paraId="46768C9D" w14:textId="77777777" w:rsidR="00191A8F" w:rsidRDefault="00191A8F" w:rsidP="000B473A">
      <w:pPr>
        <w:jc w:val="both"/>
        <w:rPr>
          <w:rFonts w:ascii="Marianne" w:hAnsi="Marianne" w:cs="Arial"/>
        </w:rPr>
      </w:pPr>
    </w:p>
    <w:p w14:paraId="4CFD3D40" w14:textId="77777777" w:rsidR="00191A8F" w:rsidRDefault="00000000" w:rsidP="000B473A">
      <w:pPr>
        <w:pStyle w:val="Titre2"/>
        <w:jc w:val="both"/>
        <w:rPr>
          <w:rFonts w:ascii="Marianne" w:hAnsi="Marianne"/>
          <w:color w:val="365F91"/>
          <w:sz w:val="22"/>
          <w:szCs w:val="24"/>
        </w:rPr>
      </w:pPr>
      <w:bookmarkStart w:id="8" w:name="_Toc200645444"/>
      <w:r>
        <w:rPr>
          <w:rFonts w:ascii="Marianne" w:hAnsi="Marianne"/>
          <w:color w:val="365F91"/>
          <w:sz w:val="22"/>
        </w:rPr>
        <w:t xml:space="preserve">4.2- </w:t>
      </w:r>
      <w:r>
        <w:rPr>
          <w:rFonts w:ascii="Marianne" w:hAnsi="Marianne"/>
          <w:color w:val="365F91"/>
          <w:sz w:val="22"/>
          <w:szCs w:val="24"/>
        </w:rPr>
        <w:t>Calendrier de l’appel à projet</w:t>
      </w:r>
      <w:bookmarkEnd w:id="8"/>
    </w:p>
    <w:p w14:paraId="2A238E67" w14:textId="77777777" w:rsidR="00191A8F" w:rsidRDefault="00191A8F" w:rsidP="000B473A">
      <w:pPr>
        <w:jc w:val="both"/>
        <w:rPr>
          <w:rStyle w:val="Lienhypertexte"/>
          <w:rFonts w:ascii="Marianne" w:eastAsiaTheme="majorEastAsia" w:hAnsi="Marianne" w:cs="Arial"/>
          <w:color w:val="auto"/>
          <w:sz w:val="26"/>
          <w:szCs w:val="26"/>
        </w:rPr>
      </w:pPr>
    </w:p>
    <w:p w14:paraId="311ACA34" w14:textId="06A0DC9B" w:rsidR="00191A8F" w:rsidRDefault="00000000" w:rsidP="000B473A">
      <w:pPr>
        <w:jc w:val="both"/>
        <w:rPr>
          <w:rStyle w:val="Lienhypertexte"/>
          <w:rFonts w:ascii="Marianne" w:hAnsi="Marianne" w:cs="Arial"/>
          <w:color w:val="auto"/>
        </w:rPr>
      </w:pPr>
      <w:r>
        <w:rPr>
          <w:rStyle w:val="Lienhypertexte"/>
          <w:rFonts w:ascii="Marianne" w:hAnsi="Marianne" w:cs="Arial"/>
          <w:color w:val="auto"/>
          <w:u w:val="none"/>
        </w:rPr>
        <w:t>Date de publication de l’AAP sur le site de l’agence et diffusion</w:t>
      </w:r>
      <w:r w:rsidR="000B473A">
        <w:rPr>
          <w:rStyle w:val="Lienhypertexte"/>
          <w:rFonts w:ascii="Marianne" w:hAnsi="Marianne" w:cs="Arial"/>
          <w:color w:val="auto"/>
          <w:u w:val="none"/>
        </w:rPr>
        <w:t xml:space="preserve"> </w:t>
      </w:r>
      <w:r>
        <w:rPr>
          <w:rStyle w:val="Lienhypertexte"/>
          <w:rFonts w:ascii="Marianne" w:hAnsi="Marianne" w:cs="Arial"/>
          <w:color w:val="auto"/>
          <w:u w:val="none"/>
        </w:rPr>
        <w:t xml:space="preserve">: </w:t>
      </w:r>
      <w:r w:rsidR="000B473A">
        <w:rPr>
          <w:rStyle w:val="Lienhypertexte"/>
          <w:rFonts w:ascii="Marianne" w:hAnsi="Marianne" w:cs="Arial"/>
          <w:color w:val="auto"/>
          <w:u w:val="none"/>
        </w:rPr>
        <w:t>2</w:t>
      </w:r>
      <w:r w:rsidR="000200EB">
        <w:rPr>
          <w:rStyle w:val="Lienhypertexte"/>
          <w:rFonts w:ascii="Marianne" w:hAnsi="Marianne" w:cs="Arial"/>
          <w:color w:val="auto"/>
          <w:u w:val="none"/>
        </w:rPr>
        <w:t>0</w:t>
      </w:r>
      <w:r w:rsidR="000B473A">
        <w:rPr>
          <w:rStyle w:val="Lienhypertexte"/>
          <w:rFonts w:ascii="Marianne" w:hAnsi="Marianne" w:cs="Arial"/>
          <w:color w:val="auto"/>
          <w:u w:val="none"/>
        </w:rPr>
        <w:t>/06/2025</w:t>
      </w:r>
    </w:p>
    <w:p w14:paraId="6BCBFCFD" w14:textId="57582B82" w:rsidR="00191A8F" w:rsidRDefault="00000000" w:rsidP="000B473A">
      <w:pPr>
        <w:jc w:val="both"/>
        <w:rPr>
          <w:rStyle w:val="Lienhypertexte"/>
          <w:rFonts w:ascii="Marianne" w:hAnsi="Marianne" w:cs="Arial"/>
          <w:color w:val="auto"/>
        </w:rPr>
      </w:pPr>
      <w:r>
        <w:rPr>
          <w:rStyle w:val="Lienhypertexte"/>
          <w:rFonts w:ascii="Marianne" w:hAnsi="Marianne" w:cs="Arial"/>
          <w:color w:val="auto"/>
          <w:u w:val="none"/>
        </w:rPr>
        <w:t xml:space="preserve">Date limite de soumission du dossier complet par mail : </w:t>
      </w:r>
      <w:r w:rsidR="000200EB">
        <w:rPr>
          <w:rStyle w:val="Lienhypertexte"/>
          <w:rFonts w:ascii="Marianne" w:hAnsi="Marianne" w:cs="Arial"/>
          <w:color w:val="auto"/>
          <w:u w:val="none"/>
        </w:rPr>
        <w:t>19</w:t>
      </w:r>
      <w:r w:rsidR="000B473A">
        <w:rPr>
          <w:rStyle w:val="Lienhypertexte"/>
          <w:rFonts w:ascii="Marianne" w:hAnsi="Marianne" w:cs="Arial"/>
          <w:color w:val="auto"/>
          <w:u w:val="none"/>
        </w:rPr>
        <w:t>/09/2025</w:t>
      </w:r>
    </w:p>
    <w:p w14:paraId="0BB5566C" w14:textId="22EDCC3E" w:rsidR="00191A8F" w:rsidRDefault="00000000" w:rsidP="000B473A">
      <w:pPr>
        <w:jc w:val="both"/>
        <w:rPr>
          <w:rStyle w:val="Lienhypertexte"/>
          <w:rFonts w:ascii="Marianne" w:hAnsi="Marianne" w:cs="Arial"/>
          <w:color w:val="auto"/>
        </w:rPr>
      </w:pPr>
      <w:r>
        <w:rPr>
          <w:rStyle w:val="Lienhypertexte"/>
          <w:rFonts w:ascii="Marianne" w:hAnsi="Marianne" w:cs="Arial"/>
          <w:color w:val="auto"/>
          <w:u w:val="none"/>
        </w:rPr>
        <w:t>Date</w:t>
      </w:r>
      <w:r w:rsidR="000200EB">
        <w:rPr>
          <w:rStyle w:val="Lienhypertexte"/>
          <w:rFonts w:ascii="Marianne" w:hAnsi="Marianne" w:cs="Arial"/>
          <w:color w:val="auto"/>
          <w:u w:val="none"/>
        </w:rPr>
        <w:t xml:space="preserve"> maximale</w:t>
      </w:r>
      <w:r>
        <w:rPr>
          <w:rStyle w:val="Lienhypertexte"/>
          <w:rFonts w:ascii="Marianne" w:hAnsi="Marianne" w:cs="Arial"/>
          <w:color w:val="auto"/>
          <w:u w:val="none"/>
        </w:rPr>
        <w:t xml:space="preserve"> de notification des résultats</w:t>
      </w:r>
      <w:r w:rsidR="000200EB">
        <w:rPr>
          <w:rStyle w:val="Lienhypertexte"/>
          <w:rFonts w:ascii="Marianne" w:hAnsi="Marianne" w:cs="Arial"/>
          <w:color w:val="auto"/>
          <w:u w:val="none"/>
        </w:rPr>
        <w:t>, et affichage des lauréats</w:t>
      </w:r>
      <w:r>
        <w:rPr>
          <w:rStyle w:val="Lienhypertexte"/>
          <w:rFonts w:ascii="Marianne" w:hAnsi="Marianne" w:cs="Arial"/>
          <w:color w:val="auto"/>
          <w:u w:val="none"/>
        </w:rPr>
        <w:t xml:space="preserve"> </w:t>
      </w:r>
      <w:r w:rsidR="000200EB">
        <w:rPr>
          <w:rStyle w:val="Lienhypertexte"/>
          <w:rFonts w:ascii="Marianne" w:hAnsi="Marianne" w:cs="Arial"/>
          <w:color w:val="auto"/>
          <w:u w:val="none"/>
        </w:rPr>
        <w:t>un mois après la clôture</w:t>
      </w:r>
      <w:r>
        <w:rPr>
          <w:rStyle w:val="Lienhypertexte"/>
          <w:rFonts w:ascii="Marianne" w:hAnsi="Marianne" w:cs="Arial"/>
          <w:color w:val="auto"/>
          <w:u w:val="none"/>
        </w:rPr>
        <w:t> </w:t>
      </w:r>
      <w:r w:rsidR="000200EB">
        <w:rPr>
          <w:rStyle w:val="Lienhypertexte"/>
          <w:rFonts w:ascii="Marianne" w:hAnsi="Marianne" w:cs="Arial"/>
          <w:color w:val="auto"/>
          <w:u w:val="none"/>
        </w:rPr>
        <w:t xml:space="preserve">soit </w:t>
      </w:r>
      <w:r>
        <w:rPr>
          <w:rStyle w:val="Lienhypertexte"/>
          <w:rFonts w:ascii="Marianne" w:hAnsi="Marianne" w:cs="Arial"/>
          <w:color w:val="auto"/>
          <w:u w:val="none"/>
        </w:rPr>
        <w:t xml:space="preserve">: </w:t>
      </w:r>
      <w:r w:rsidR="000200EB">
        <w:rPr>
          <w:rStyle w:val="Lienhypertexte"/>
          <w:rFonts w:ascii="Marianne" w:hAnsi="Marianne" w:cs="Arial"/>
          <w:color w:val="auto"/>
          <w:u w:val="none"/>
        </w:rPr>
        <w:t>17</w:t>
      </w:r>
      <w:r w:rsidR="000B473A">
        <w:rPr>
          <w:rStyle w:val="Lienhypertexte"/>
          <w:rFonts w:ascii="Marianne" w:hAnsi="Marianne" w:cs="Arial"/>
          <w:color w:val="auto"/>
          <w:u w:val="none"/>
        </w:rPr>
        <w:t>/10/2025</w:t>
      </w:r>
    </w:p>
    <w:p w14:paraId="46C11EE9" w14:textId="77777777" w:rsidR="000B473A" w:rsidRDefault="000B473A" w:rsidP="000B473A">
      <w:pPr>
        <w:jc w:val="both"/>
        <w:rPr>
          <w:rFonts w:ascii="Marianne" w:hAnsi="Marianne" w:cs="Arial"/>
        </w:rPr>
      </w:pPr>
    </w:p>
    <w:p w14:paraId="79CBBAE4" w14:textId="77777777" w:rsidR="00191A8F" w:rsidRDefault="00000000" w:rsidP="000B473A">
      <w:pPr>
        <w:jc w:val="both"/>
        <w:rPr>
          <w:rFonts w:ascii="Marianne" w:hAnsi="Marianne" w:cs="Arial"/>
        </w:rPr>
      </w:pPr>
      <w:r>
        <w:rPr>
          <w:rFonts w:ascii="Marianne" w:hAnsi="Marianne" w:cs="Arial"/>
        </w:rPr>
        <w:t xml:space="preserve">Les dossiers de candidature sont à adresser </w:t>
      </w:r>
      <w:r>
        <w:rPr>
          <w:rFonts w:ascii="Marianne" w:hAnsi="Marianne" w:cs="Arial"/>
          <w:u w:val="single"/>
        </w:rPr>
        <w:t>exclusivement par voie électronique</w:t>
      </w:r>
      <w:r>
        <w:rPr>
          <w:rFonts w:ascii="Marianne" w:hAnsi="Marianne" w:cs="Arial"/>
        </w:rPr>
        <w:t>.</w:t>
      </w:r>
    </w:p>
    <w:p w14:paraId="17CDAC66" w14:textId="77777777" w:rsidR="00191A8F" w:rsidRDefault="00000000" w:rsidP="000B473A">
      <w:pPr>
        <w:jc w:val="both"/>
        <w:rPr>
          <w:rFonts w:ascii="Marianne" w:hAnsi="Marianne"/>
        </w:rPr>
      </w:pPr>
      <w:r>
        <w:rPr>
          <w:rFonts w:ascii="Marianne" w:hAnsi="Marianne"/>
        </w:rPr>
        <w:t>L’envoi doit être fait systématiquement</w:t>
      </w:r>
      <w:r w:rsidR="000B473A">
        <w:rPr>
          <w:rFonts w:ascii="Marianne" w:hAnsi="Marianne"/>
        </w:rPr>
        <w:t xml:space="preserve"> </w:t>
      </w:r>
      <w:r>
        <w:rPr>
          <w:rFonts w:ascii="Marianne" w:hAnsi="Marianne"/>
        </w:rPr>
        <w:t>:</w:t>
      </w:r>
    </w:p>
    <w:p w14:paraId="485B8A5D" w14:textId="77777777" w:rsidR="000B473A" w:rsidRPr="000B473A" w:rsidRDefault="00000000" w:rsidP="000B473A">
      <w:pPr>
        <w:jc w:val="both"/>
        <w:rPr>
          <w:rFonts w:ascii="Marianne" w:hAnsi="Marianne" w:cs="Arial"/>
          <w:color w:val="0000FF"/>
        </w:rPr>
      </w:pPr>
      <w:r>
        <w:rPr>
          <w:rFonts w:ascii="Marianne" w:hAnsi="Marianne"/>
        </w:rPr>
        <w:t xml:space="preserve">Au référent technique de l’ARS </w:t>
      </w:r>
      <w:r w:rsidR="000B473A" w:rsidRPr="000B473A">
        <w:rPr>
          <w:rStyle w:val="Lienhypertexte"/>
          <w:rFonts w:ascii="Marianne" w:hAnsi="Marianne" w:cs="Arial"/>
          <w:u w:val="none"/>
        </w:rPr>
        <w:t>vincent.rohman@</w:t>
      </w:r>
      <w:r>
        <w:rPr>
          <w:rStyle w:val="Lienhypertexte"/>
          <w:rFonts w:ascii="Marianne" w:hAnsi="Marianne" w:cs="Arial"/>
          <w:u w:val="none"/>
        </w:rPr>
        <w:t>ars.sante.fr</w:t>
      </w:r>
    </w:p>
    <w:p w14:paraId="7AD7EC4C" w14:textId="77777777" w:rsidR="00191A8F" w:rsidRDefault="00000000" w:rsidP="000B473A">
      <w:pPr>
        <w:jc w:val="both"/>
        <w:rPr>
          <w:rStyle w:val="Lienhypertexte"/>
          <w:rFonts w:ascii="Marianne" w:hAnsi="Marianne" w:cs="Arial"/>
          <w:u w:val="none"/>
        </w:rPr>
      </w:pPr>
      <w:r>
        <w:rPr>
          <w:rFonts w:ascii="Marianne" w:hAnsi="Marianne"/>
        </w:rPr>
        <w:t>A</w:t>
      </w:r>
      <w:r w:rsidR="000B473A">
        <w:rPr>
          <w:rFonts w:ascii="Marianne" w:hAnsi="Marianne"/>
        </w:rPr>
        <w:t xml:space="preserve"> la</w:t>
      </w:r>
      <w:r>
        <w:rPr>
          <w:rFonts w:ascii="Marianne" w:hAnsi="Marianne"/>
        </w:rPr>
        <w:t xml:space="preserve"> coordina</w:t>
      </w:r>
      <w:r w:rsidR="000B473A">
        <w:rPr>
          <w:rFonts w:ascii="Marianne" w:hAnsi="Marianne"/>
        </w:rPr>
        <w:t xml:space="preserve">trice </w:t>
      </w:r>
      <w:r>
        <w:rPr>
          <w:rFonts w:ascii="Marianne" w:hAnsi="Marianne"/>
        </w:rPr>
        <w:t>régional</w:t>
      </w:r>
      <w:r w:rsidR="000B473A">
        <w:rPr>
          <w:rFonts w:ascii="Marianne" w:hAnsi="Marianne"/>
        </w:rPr>
        <w:t>e</w:t>
      </w:r>
      <w:r>
        <w:rPr>
          <w:rFonts w:ascii="Marianne" w:hAnsi="Marianne"/>
        </w:rPr>
        <w:t xml:space="preserve"> CTEES </w:t>
      </w:r>
      <w:r w:rsidR="000B473A" w:rsidRPr="00E6466F">
        <w:rPr>
          <w:rStyle w:val="Lienhypertexte"/>
          <w:rFonts w:ascii="Marianne" w:hAnsi="Marianne" w:cs="Arial"/>
          <w:u w:val="none"/>
        </w:rPr>
        <w:t>khaoutar.hadjam@ghu-paris.fr</w:t>
      </w:r>
    </w:p>
    <w:p w14:paraId="489109A2" w14:textId="77777777" w:rsidR="000B473A" w:rsidRDefault="000B473A" w:rsidP="000B473A">
      <w:pPr>
        <w:jc w:val="both"/>
        <w:rPr>
          <w:rFonts w:ascii="Marianne" w:hAnsi="Marianne"/>
        </w:rPr>
      </w:pPr>
      <w:r w:rsidRPr="000B473A">
        <w:rPr>
          <w:rFonts w:ascii="Marianne" w:hAnsi="Marianne"/>
        </w:rPr>
        <w:t>Au coordinateur régional EDFS</w:t>
      </w:r>
      <w:r>
        <w:rPr>
          <w:rStyle w:val="Lienhypertexte"/>
          <w:rFonts w:ascii="Marianne" w:hAnsi="Marianne" w:cs="Arial"/>
          <w:u w:val="none"/>
        </w:rPr>
        <w:t xml:space="preserve"> </w:t>
      </w:r>
      <w:r w:rsidRPr="000B473A">
        <w:rPr>
          <w:rStyle w:val="Lienhypertexte"/>
          <w:rFonts w:ascii="Marianne" w:hAnsi="Marianne" w:cs="Arial"/>
          <w:u w:val="none"/>
        </w:rPr>
        <w:t>crecel.gbodjinou@ekopolis.fr</w:t>
      </w:r>
    </w:p>
    <w:p w14:paraId="7F2B6696" w14:textId="77777777" w:rsidR="00191A8F" w:rsidRDefault="00191A8F" w:rsidP="000B473A">
      <w:pPr>
        <w:jc w:val="both"/>
        <w:rPr>
          <w:rFonts w:ascii="Marianne" w:hAnsi="Marianne"/>
        </w:rPr>
      </w:pPr>
    </w:p>
    <w:p w14:paraId="3F0B876C" w14:textId="77777777" w:rsidR="00191A8F" w:rsidRDefault="00000000" w:rsidP="000B473A">
      <w:pPr>
        <w:jc w:val="both"/>
        <w:rPr>
          <w:rFonts w:ascii="Marianne" w:hAnsi="Marianne"/>
        </w:rPr>
      </w:pPr>
      <w:r>
        <w:rPr>
          <w:rFonts w:ascii="Marianne" w:hAnsi="Marianne"/>
        </w:rPr>
        <w:t xml:space="preserve">Au-delà de </w:t>
      </w:r>
      <w:r w:rsidR="00E6466F">
        <w:rPr>
          <w:rFonts w:ascii="Marianne" w:hAnsi="Marianne"/>
        </w:rPr>
        <w:t xml:space="preserve">la date limite de soumission, </w:t>
      </w:r>
      <w:r>
        <w:rPr>
          <w:rFonts w:ascii="Marianne" w:hAnsi="Marianne"/>
        </w:rPr>
        <w:t>les dossiers reçus ne seront pas examinés et pourront être reporté sur une seconde vague d’AAP.</w:t>
      </w:r>
    </w:p>
    <w:p w14:paraId="7DF5023A" w14:textId="77777777" w:rsidR="00191A8F" w:rsidRDefault="00000000" w:rsidP="000B473A">
      <w:pPr>
        <w:jc w:val="both"/>
        <w:rPr>
          <w:rFonts w:ascii="Marianne" w:hAnsi="Marianne" w:cs="Arial"/>
        </w:rPr>
      </w:pPr>
      <w:r>
        <w:rPr>
          <w:rFonts w:ascii="Marianne" w:hAnsi="Marianne"/>
        </w:rPr>
        <w:lastRenderedPageBreak/>
        <w:t>Toute demande d’information complémentaire est à adresser à :</w:t>
      </w:r>
      <w:r>
        <w:rPr>
          <w:rFonts w:ascii="Marianne" w:hAnsi="Marianne" w:cs="Arial"/>
        </w:rPr>
        <w:t xml:space="preserve"> </w:t>
      </w:r>
    </w:p>
    <w:p w14:paraId="3B637769" w14:textId="77777777" w:rsidR="00191A8F" w:rsidRDefault="00E6466F" w:rsidP="000B473A">
      <w:pPr>
        <w:jc w:val="both"/>
        <w:rPr>
          <w:rFonts w:ascii="Marianne" w:hAnsi="Marianne" w:cs="Arial"/>
        </w:rPr>
      </w:pPr>
      <w:r w:rsidRPr="000B473A">
        <w:rPr>
          <w:rStyle w:val="Lienhypertexte"/>
          <w:rFonts w:ascii="Marianne" w:hAnsi="Marianne" w:cs="Arial"/>
          <w:u w:val="none"/>
        </w:rPr>
        <w:t>vincent.rohman@</w:t>
      </w:r>
      <w:r>
        <w:rPr>
          <w:rStyle w:val="Lienhypertexte"/>
          <w:rFonts w:ascii="Marianne" w:hAnsi="Marianne" w:cs="Arial"/>
          <w:u w:val="none"/>
        </w:rPr>
        <w:t>ars.sante.fr</w:t>
      </w:r>
    </w:p>
    <w:p w14:paraId="71E8D939" w14:textId="77777777" w:rsidR="00191A8F" w:rsidRDefault="00000000" w:rsidP="000B473A">
      <w:pPr>
        <w:pStyle w:val="Titre2"/>
        <w:jc w:val="both"/>
        <w:rPr>
          <w:rStyle w:val="Lienhypertexte"/>
          <w:rFonts w:ascii="Marianne" w:eastAsiaTheme="minorHAnsi" w:hAnsi="Marianne" w:cs="Arial"/>
          <w:sz w:val="22"/>
          <w:szCs w:val="22"/>
        </w:rPr>
      </w:pPr>
      <w:r>
        <w:rPr>
          <w:rStyle w:val="Lienhypertexte"/>
          <w:rFonts w:ascii="Marianne" w:hAnsi="Marianne" w:cs="Arial"/>
        </w:rPr>
        <w:br w:type="page" w:clear="all"/>
      </w:r>
    </w:p>
    <w:p w14:paraId="0CE256FF" w14:textId="77777777" w:rsidR="00191A8F" w:rsidRDefault="00000000">
      <w:pPr>
        <w:pStyle w:val="Titre1"/>
        <w:numPr>
          <w:ilvl w:val="0"/>
          <w:numId w:val="1"/>
        </w:numPr>
        <w:jc w:val="both"/>
        <w:rPr>
          <w:rFonts w:ascii="Marianne" w:hAnsi="Marianne" w:cstheme="minorHAnsi"/>
          <w:sz w:val="22"/>
          <w:szCs w:val="22"/>
        </w:rPr>
      </w:pPr>
      <w:bookmarkStart w:id="9" w:name="_Toc200645445"/>
      <w:r>
        <w:rPr>
          <w:rFonts w:ascii="Marianne" w:hAnsi="Marianne" w:cstheme="minorHAnsi"/>
          <w:sz w:val="22"/>
          <w:szCs w:val="22"/>
        </w:rPr>
        <w:lastRenderedPageBreak/>
        <w:t>Annexe :</w:t>
      </w:r>
      <w:bookmarkEnd w:id="9"/>
      <w:r>
        <w:rPr>
          <w:rFonts w:ascii="Marianne" w:hAnsi="Marianne" w:cstheme="minorHAnsi"/>
          <w:sz w:val="22"/>
          <w:szCs w:val="22"/>
        </w:rPr>
        <w:t xml:space="preserve"> </w:t>
      </w:r>
    </w:p>
    <w:p w14:paraId="62302EB4" w14:textId="77777777" w:rsidR="00191A8F" w:rsidRDefault="00191A8F">
      <w:pPr>
        <w:jc w:val="both"/>
        <w:rPr>
          <w:rFonts w:ascii="Marianne" w:hAnsi="Marianne"/>
        </w:rPr>
      </w:pPr>
    </w:p>
    <w:sectPr w:rsidR="00191A8F">
      <w:head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7256C" w14:textId="77777777" w:rsidR="008420CD" w:rsidRDefault="008420CD">
      <w:pPr>
        <w:spacing w:after="0" w:line="240" w:lineRule="auto"/>
      </w:pPr>
      <w:r>
        <w:separator/>
      </w:r>
    </w:p>
  </w:endnote>
  <w:endnote w:type="continuationSeparator" w:id="0">
    <w:p w14:paraId="07AAA792" w14:textId="77777777" w:rsidR="008420CD" w:rsidRDefault="00842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94845" w14:textId="77777777" w:rsidR="008420CD" w:rsidRDefault="008420CD">
      <w:pPr>
        <w:spacing w:after="0" w:line="240" w:lineRule="auto"/>
      </w:pPr>
      <w:r>
        <w:separator/>
      </w:r>
    </w:p>
  </w:footnote>
  <w:footnote w:type="continuationSeparator" w:id="0">
    <w:p w14:paraId="45BBD880" w14:textId="77777777" w:rsidR="008420CD" w:rsidRDefault="00842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58B45" w14:textId="77777777" w:rsidR="00191A8F" w:rsidRDefault="00000000">
    <w:pPr>
      <w:pStyle w:val="En-tte"/>
      <w:jc w:val="center"/>
      <w:rPr>
        <w:color w:val="FF0000"/>
        <w:sz w:val="32"/>
      </w:rPr>
    </w:pPr>
    <w:r>
      <w:rPr>
        <w:color w:val="FF0000"/>
        <w:sz w:val="32"/>
        <w:lang w:eastAsia="fr-FR"/>
      </w:rPr>
      <w:t xml:space="preserve">       </w:t>
    </w:r>
    <w:r>
      <w:rPr>
        <w:noProof/>
        <w:color w:val="FF0000"/>
        <w:sz w:val="32"/>
        <w:lang w:eastAsia="fr-FR"/>
      </w:rPr>
      <mc:AlternateContent>
        <mc:Choice Requires="wpg">
          <w:drawing>
            <wp:inline distT="0" distB="0" distL="0" distR="0" wp14:anchorId="3EA42FB4" wp14:editId="3BC6DBBE">
              <wp:extent cx="1818968" cy="66423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266053" name=""/>
                      <pic:cNvPicPr>
                        <a:picLocks noChangeAspect="1"/>
                      </pic:cNvPicPr>
                    </pic:nvPicPr>
                    <pic:blipFill>
                      <a:blip r:embed="rId1"/>
                      <a:stretch/>
                    </pic:blipFill>
                    <pic:spPr bwMode="auto">
                      <a:xfrm>
                        <a:off x="0" y="0"/>
                        <a:ext cx="1854920" cy="677359"/>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3.23pt;height:52.30pt;mso-wrap-distance-left:0.00pt;mso-wrap-distance-top:0.00pt;mso-wrap-distance-right:0.00pt;mso-wrap-distance-bottom:0.00pt;z-index:1;" stroked="false">
              <v:imagedata r:id="rId2" o:title=""/>
              <o:lock v:ext="edit" rotation="t"/>
            </v:shape>
          </w:pict>
        </mc:Fallback>
      </mc:AlternateContent>
    </w:r>
    <w:r>
      <w:rPr>
        <w:color w:val="FF0000"/>
        <w:sz w:val="32"/>
        <w:lang w:eastAsia="fr-FR"/>
      </w:rPr>
      <w:t xml:space="preserve">                                         </w:t>
    </w:r>
    <w:r>
      <w:rPr>
        <w:noProof/>
      </w:rPr>
      <mc:AlternateContent>
        <mc:Choice Requires="wpg">
          <w:drawing>
            <wp:inline distT="0" distB="0" distL="0" distR="0" wp14:anchorId="56E8C936" wp14:editId="3B7BF781">
              <wp:extent cx="1727543" cy="619432"/>
              <wp:effectExtent l="0" t="0" r="6350" b="9525"/>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3"/>
                      <a:srcRect t="23756" b="22775"/>
                      <a:stretch/>
                    </pic:blipFill>
                    <pic:spPr bwMode="auto">
                      <a:xfrm>
                        <a:off x="0" y="0"/>
                        <a:ext cx="1737901" cy="623146"/>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36.03pt;height:48.77pt;mso-wrap-distance-left:0.00pt;mso-wrap-distance-top:0.00pt;mso-wrap-distance-right:0.00pt;mso-wrap-distance-bottom:0.00pt;z-index:1;" stroked="f">
              <v:imagedata r:id="rId4" o:title="" croptop="15569f" cropleft="0f" cropbottom="14926f" cropright="0f"/>
              <o:lock v:ext="edit" rota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2688"/>
    <w:multiLevelType w:val="multilevel"/>
    <w:tmpl w:val="F25EB46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8C6311"/>
    <w:multiLevelType w:val="multilevel"/>
    <w:tmpl w:val="9E768E4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163F3B"/>
    <w:multiLevelType w:val="multilevel"/>
    <w:tmpl w:val="1708CBB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995227"/>
    <w:multiLevelType w:val="multilevel"/>
    <w:tmpl w:val="AF1E7DC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1F8171E"/>
    <w:multiLevelType w:val="multilevel"/>
    <w:tmpl w:val="FECEB8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7E7CF7"/>
    <w:multiLevelType w:val="multilevel"/>
    <w:tmpl w:val="B0182D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196B0D"/>
    <w:multiLevelType w:val="multilevel"/>
    <w:tmpl w:val="46323928"/>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64A4D28"/>
    <w:multiLevelType w:val="multilevel"/>
    <w:tmpl w:val="9EDCF066"/>
    <w:lvl w:ilvl="0">
      <w:numFmt w:val="bullet"/>
      <w:lvlText w:val="-"/>
      <w:lvlJc w:val="left"/>
      <w:pPr>
        <w:ind w:left="720" w:hanging="360"/>
      </w:pPr>
      <w:rPr>
        <w:rFonts w:ascii="Arial" w:eastAsia="Times New Roman" w:hAnsi="Arial" w:cs="Aria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A75ECD"/>
    <w:multiLevelType w:val="multilevel"/>
    <w:tmpl w:val="534E34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D87F15"/>
    <w:multiLevelType w:val="multilevel"/>
    <w:tmpl w:val="2CDC4012"/>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6356A3"/>
    <w:multiLevelType w:val="multilevel"/>
    <w:tmpl w:val="CA9C5FF0"/>
    <w:lvl w:ilvl="0">
      <w:start w:val="1"/>
      <w:numFmt w:val="bullet"/>
      <w:lvlText w:val="-"/>
      <w:lvlJc w:val="left"/>
      <w:pPr>
        <w:ind w:left="720" w:hanging="360"/>
      </w:pPr>
      <w:rPr>
        <w:rFonts w:ascii="Marianne" w:eastAsiaTheme="minorHAnsi" w:hAnsi="Marianne"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635F97"/>
    <w:multiLevelType w:val="multilevel"/>
    <w:tmpl w:val="D19AACD8"/>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DDA48AB"/>
    <w:multiLevelType w:val="multilevel"/>
    <w:tmpl w:val="1A0CB98A"/>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315092"/>
    <w:multiLevelType w:val="multilevel"/>
    <w:tmpl w:val="559248FC"/>
    <w:lvl w:ilvl="0">
      <w:start w:val="1"/>
      <w:numFmt w:val="lowerLetter"/>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FE3901"/>
    <w:multiLevelType w:val="multilevel"/>
    <w:tmpl w:val="31A83F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0C0317"/>
    <w:multiLevelType w:val="multilevel"/>
    <w:tmpl w:val="9488B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6E374C"/>
    <w:multiLevelType w:val="multilevel"/>
    <w:tmpl w:val="5E9A9280"/>
    <w:lvl w:ilvl="0">
      <w:start w:val="1"/>
      <w:numFmt w:val="bullet"/>
      <w:lvlText w:val="-"/>
      <w:lvlJc w:val="left"/>
      <w:pPr>
        <w:ind w:left="720" w:hanging="360"/>
      </w:pPr>
      <w:rPr>
        <w:rFonts w:ascii="Marianne" w:eastAsiaTheme="minorHAnsi" w:hAnsi="Marianne"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CB70A23"/>
    <w:multiLevelType w:val="multilevel"/>
    <w:tmpl w:val="06288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DFF2503"/>
    <w:multiLevelType w:val="multilevel"/>
    <w:tmpl w:val="4148F90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F544507"/>
    <w:multiLevelType w:val="multilevel"/>
    <w:tmpl w:val="A6660DD2"/>
    <w:lvl w:ilvl="0">
      <w:start w:val="2"/>
      <w:numFmt w:val="bullet"/>
      <w:lvlText w:val="-"/>
      <w:lvlJc w:val="left"/>
      <w:pPr>
        <w:ind w:left="720" w:hanging="360"/>
      </w:pPr>
      <w:rPr>
        <w:rFonts w:ascii="Marianne" w:eastAsiaTheme="minorHAnsi" w:hAnsi="Marianne"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4D3228"/>
    <w:multiLevelType w:val="multilevel"/>
    <w:tmpl w:val="EE1E8A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95035D"/>
    <w:multiLevelType w:val="multilevel"/>
    <w:tmpl w:val="75CC799E"/>
    <w:lvl w:ilvl="0">
      <w:start w:val="4"/>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2805C4"/>
    <w:multiLevelType w:val="multilevel"/>
    <w:tmpl w:val="D4FA196A"/>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F40007"/>
    <w:multiLevelType w:val="multilevel"/>
    <w:tmpl w:val="825097A0"/>
    <w:lvl w:ilvl="0">
      <w:start w:val="1"/>
      <w:numFmt w:val="bullet"/>
      <w:lvlText w:val="-"/>
      <w:lvlJc w:val="left"/>
      <w:pPr>
        <w:ind w:left="720" w:hanging="360"/>
      </w:pPr>
      <w:rPr>
        <w:rFonts w:ascii="Marianne" w:eastAsiaTheme="minorHAnsi" w:hAnsi="Marianne"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FF22AE"/>
    <w:multiLevelType w:val="multilevel"/>
    <w:tmpl w:val="55BEE462"/>
    <w:lvl w:ilvl="0">
      <w:numFmt w:val="bullet"/>
      <w:lvlText w:val="-"/>
      <w:lvlJc w:val="left"/>
      <w:pPr>
        <w:ind w:left="360" w:hanging="360"/>
      </w:pPr>
      <w:rPr>
        <w:rFonts w:ascii="Calibri" w:eastAsiaTheme="minorHAns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D0A04AB"/>
    <w:multiLevelType w:val="multilevel"/>
    <w:tmpl w:val="A2C0074C"/>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D456152"/>
    <w:multiLevelType w:val="multilevel"/>
    <w:tmpl w:val="941ED49A"/>
    <w:lvl w:ilvl="0">
      <w:start w:val="1"/>
      <w:numFmt w:val="decimal"/>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7" w15:restartNumberingAfterBreak="0">
    <w:nsid w:val="613F7CA5"/>
    <w:multiLevelType w:val="multilevel"/>
    <w:tmpl w:val="1DA6B67A"/>
    <w:lvl w:ilvl="0">
      <w:start w:val="4"/>
      <w:numFmt w:val="decimal"/>
      <w:lvlText w:val="%1."/>
      <w:lvlJc w:val="left"/>
      <w:pPr>
        <w:ind w:left="405" w:hanging="405"/>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8" w15:restartNumberingAfterBreak="0">
    <w:nsid w:val="623D05CA"/>
    <w:multiLevelType w:val="multilevel"/>
    <w:tmpl w:val="9852EFA4"/>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71A1199"/>
    <w:multiLevelType w:val="multilevel"/>
    <w:tmpl w:val="A1D886B0"/>
    <w:lvl w:ilvl="0">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E057285"/>
    <w:multiLevelType w:val="multilevel"/>
    <w:tmpl w:val="3E98CB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2C7199E"/>
    <w:multiLevelType w:val="multilevel"/>
    <w:tmpl w:val="E0604842"/>
    <w:lvl w:ilvl="0">
      <w:start w:val="1"/>
      <w:numFmt w:val="bullet"/>
      <w:lvlText w:val="-"/>
      <w:lvlJc w:val="left"/>
      <w:pPr>
        <w:ind w:left="720" w:hanging="360"/>
      </w:pPr>
      <w:rPr>
        <w:rFonts w:ascii="Marianne" w:eastAsiaTheme="minorHAnsi" w:hAnsi="Marianne"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9845D1"/>
    <w:multiLevelType w:val="multilevel"/>
    <w:tmpl w:val="3F143DA6"/>
    <w:lvl w:ilvl="0">
      <w:numFmt w:val="bullet"/>
      <w:lvlText w:val="-"/>
      <w:lvlJc w:val="left"/>
      <w:pPr>
        <w:ind w:left="360" w:hanging="360"/>
      </w:pPr>
      <w:rPr>
        <w:rFonts w:ascii="Calibri" w:eastAsiaTheme="minorHAns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F095187"/>
    <w:multiLevelType w:val="multilevel"/>
    <w:tmpl w:val="D3284AEC"/>
    <w:lvl w:ilvl="0">
      <w:numFmt w:val="bullet"/>
      <w:lvlText w:val="-"/>
      <w:lvlJc w:val="left"/>
      <w:pPr>
        <w:ind w:left="720" w:hanging="360"/>
      </w:pPr>
      <w:rPr>
        <w:rFonts w:ascii="Calibri" w:eastAsiaTheme="minorHAnsi" w:hAnsi="Calibri" w:cs="Calibri"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66728867">
    <w:abstractNumId w:val="18"/>
  </w:num>
  <w:num w:numId="2" w16cid:durableId="887641944">
    <w:abstractNumId w:val="5"/>
  </w:num>
  <w:num w:numId="3" w16cid:durableId="476261825">
    <w:abstractNumId w:val="20"/>
  </w:num>
  <w:num w:numId="4" w16cid:durableId="2121484556">
    <w:abstractNumId w:val="24"/>
  </w:num>
  <w:num w:numId="5" w16cid:durableId="845947510">
    <w:abstractNumId w:val="30"/>
  </w:num>
  <w:num w:numId="6" w16cid:durableId="1459714832">
    <w:abstractNumId w:val="13"/>
  </w:num>
  <w:num w:numId="7" w16cid:durableId="158473196">
    <w:abstractNumId w:val="32"/>
  </w:num>
  <w:num w:numId="8" w16cid:durableId="112335204">
    <w:abstractNumId w:val="22"/>
  </w:num>
  <w:num w:numId="9" w16cid:durableId="1394743458">
    <w:abstractNumId w:val="9"/>
  </w:num>
  <w:num w:numId="10" w16cid:durableId="1016887363">
    <w:abstractNumId w:val="16"/>
  </w:num>
  <w:num w:numId="11" w16cid:durableId="101583427">
    <w:abstractNumId w:val="31"/>
  </w:num>
  <w:num w:numId="12" w16cid:durableId="62802920">
    <w:abstractNumId w:val="12"/>
  </w:num>
  <w:num w:numId="13" w16cid:durableId="894389057">
    <w:abstractNumId w:val="14"/>
  </w:num>
  <w:num w:numId="14" w16cid:durableId="1878540727">
    <w:abstractNumId w:val="29"/>
  </w:num>
  <w:num w:numId="15" w16cid:durableId="1127629217">
    <w:abstractNumId w:val="21"/>
  </w:num>
  <w:num w:numId="16" w16cid:durableId="196821034">
    <w:abstractNumId w:val="8"/>
  </w:num>
  <w:num w:numId="17" w16cid:durableId="1705709507">
    <w:abstractNumId w:val="25"/>
  </w:num>
  <w:num w:numId="18" w16cid:durableId="1448935497">
    <w:abstractNumId w:val="17"/>
  </w:num>
  <w:num w:numId="19" w16cid:durableId="1175149497">
    <w:abstractNumId w:val="26"/>
  </w:num>
  <w:num w:numId="20" w16cid:durableId="283191821">
    <w:abstractNumId w:val="27"/>
  </w:num>
  <w:num w:numId="21" w16cid:durableId="397752147">
    <w:abstractNumId w:val="33"/>
  </w:num>
  <w:num w:numId="22" w16cid:durableId="1844587440">
    <w:abstractNumId w:val="3"/>
  </w:num>
  <w:num w:numId="23" w16cid:durableId="676004503">
    <w:abstractNumId w:val="10"/>
  </w:num>
  <w:num w:numId="24" w16cid:durableId="2056663273">
    <w:abstractNumId w:val="1"/>
  </w:num>
  <w:num w:numId="25" w16cid:durableId="563952391">
    <w:abstractNumId w:val="23"/>
  </w:num>
  <w:num w:numId="26" w16cid:durableId="1541016640">
    <w:abstractNumId w:val="7"/>
  </w:num>
  <w:num w:numId="27" w16cid:durableId="398596444">
    <w:abstractNumId w:val="19"/>
  </w:num>
  <w:num w:numId="28" w16cid:durableId="1238828727">
    <w:abstractNumId w:val="4"/>
  </w:num>
  <w:num w:numId="29" w16cid:durableId="1554728207">
    <w:abstractNumId w:val="0"/>
  </w:num>
  <w:num w:numId="30" w16cid:durableId="1566798449">
    <w:abstractNumId w:val="2"/>
  </w:num>
  <w:num w:numId="31" w16cid:durableId="1140414574">
    <w:abstractNumId w:val="15"/>
  </w:num>
  <w:num w:numId="32" w16cid:durableId="1183393708">
    <w:abstractNumId w:val="6"/>
  </w:num>
  <w:num w:numId="33" w16cid:durableId="1566255495">
    <w:abstractNumId w:val="11"/>
  </w:num>
  <w:num w:numId="34" w16cid:durableId="21069941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A8F"/>
    <w:rsid w:val="000200EB"/>
    <w:rsid w:val="000B473A"/>
    <w:rsid w:val="00111063"/>
    <w:rsid w:val="00191A8F"/>
    <w:rsid w:val="005E3A60"/>
    <w:rsid w:val="007C1BE5"/>
    <w:rsid w:val="008420CD"/>
    <w:rsid w:val="00856CF9"/>
    <w:rsid w:val="00E64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23A35"/>
  <w15:docId w15:val="{143637E7-DCE1-403F-8359-DD49CE883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365F91"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4Char">
    <w:name w:val="Heading 4 Char"/>
    <w:basedOn w:val="Policepardfaut"/>
    <w:uiPriority w:val="9"/>
    <w:rPr>
      <w:rFonts w:ascii="Arial" w:eastAsia="Arial" w:hAnsi="Arial" w:cs="Arial"/>
      <w:i/>
      <w:iCs/>
      <w:color w:val="365F91" w:themeColor="accent1" w:themeShade="BF"/>
    </w:rPr>
  </w:style>
  <w:style w:type="character" w:customStyle="1" w:styleId="Heading5Char">
    <w:name w:val="Heading 5 Char"/>
    <w:basedOn w:val="Policepardfaut"/>
    <w:uiPriority w:val="9"/>
    <w:rPr>
      <w:rFonts w:ascii="Arial" w:eastAsia="Arial" w:hAnsi="Arial" w:cs="Arial"/>
      <w:color w:val="365F91"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365F91" w:themeColor="accent1" w:themeShade="BF"/>
    </w:rPr>
  </w:style>
  <w:style w:type="character" w:customStyle="1" w:styleId="EndnoteTextChar">
    <w:name w:val="Endnote Text Char"/>
    <w:basedOn w:val="Policepardfaut"/>
    <w:uiPriority w:val="99"/>
    <w:semiHidden/>
    <w:rPr>
      <w:sz w:val="20"/>
      <w:szCs w:val="20"/>
    </w:rPr>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Policepardfaut"/>
    <w:uiPriority w:val="9"/>
    <w:rPr>
      <w:rFonts w:ascii="Arial" w:eastAsia="Arial" w:hAnsi="Arial" w:cs="Arial"/>
      <w:color w:val="365F91" w:themeColor="accent1" w:themeShade="BF"/>
      <w:sz w:val="40"/>
      <w:szCs w:val="40"/>
    </w:rPr>
  </w:style>
  <w:style w:type="character" w:customStyle="1" w:styleId="Heading2Char">
    <w:name w:val="Heading 2 Char"/>
    <w:basedOn w:val="Policepardfaut"/>
    <w:uiPriority w:val="9"/>
    <w:rPr>
      <w:rFonts w:ascii="Arial" w:eastAsia="Arial" w:hAnsi="Arial" w:cs="Arial"/>
      <w:color w:val="365F91" w:themeColor="accent1" w:themeShade="BF"/>
      <w:sz w:val="32"/>
      <w:szCs w:val="32"/>
    </w:rPr>
  </w:style>
  <w:style w:type="character" w:customStyle="1" w:styleId="Heading3Char">
    <w:name w:val="Heading 3 Char"/>
    <w:basedOn w:val="Policepardfaut"/>
    <w:uiPriority w:val="9"/>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365F91" w:themeColor="accent1" w:themeShade="BF"/>
    </w:rPr>
  </w:style>
  <w:style w:type="character" w:customStyle="1" w:styleId="Titre5Car">
    <w:name w:val="Titre 5 Car"/>
    <w:basedOn w:val="Policepardfaut"/>
    <w:link w:val="Titre5"/>
    <w:uiPriority w:val="9"/>
    <w:rPr>
      <w:rFonts w:ascii="Arial" w:eastAsia="Arial" w:hAnsi="Arial" w:cs="Arial"/>
      <w:color w:val="365F9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paragraph" w:styleId="Sansinterligne">
    <w:name w:val="No Spacing"/>
    <w:basedOn w:val="Normal"/>
    <w:uiPriority w:val="1"/>
    <w:qFormat/>
    <w:pPr>
      <w:spacing w:after="0" w:line="240" w:lineRule="auto"/>
    </w:p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line="240" w:lineRule="auto"/>
    </w:pPr>
    <w:rPr>
      <w:i/>
      <w:iCs/>
      <w:color w:val="1F497D" w:themeColor="text2"/>
      <w:sz w:val="18"/>
      <w:szCs w:val="18"/>
    </w:rPr>
  </w:style>
  <w:style w:type="character" w:customStyle="1" w:styleId="FootnoteTextChar">
    <w:name w:val="Footnote Text Char"/>
    <w:basedOn w:val="Policepardfaut"/>
    <w:uiPriority w:val="99"/>
    <w:semiHidden/>
    <w:rPr>
      <w:sz w:val="20"/>
      <w:szCs w:val="20"/>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Tabledesillustrations">
    <w:name w:val="table of figures"/>
    <w:basedOn w:val="Normal"/>
    <w:next w:val="Normal"/>
    <w:uiPriority w:val="99"/>
    <w:unhideWhenUsed/>
    <w:pPr>
      <w:spacing w:after="0"/>
    </w:pPr>
  </w:style>
  <w:style w:type="paragraph" w:styleId="Paragraphedeliste">
    <w:name w:val="List Paragraph"/>
    <w:basedOn w:val="Normal"/>
    <w:link w:val="ParagraphedelisteCar"/>
    <w:uiPriority w:val="34"/>
    <w:qFormat/>
    <w:pPr>
      <w:ind w:left="720"/>
      <w:contextualSpacing/>
    </w:pPr>
  </w:style>
  <w:style w:type="paragraph" w:styleId="Notedebasdepage">
    <w:name w:val="footnote text"/>
    <w:basedOn w:val="Normal"/>
    <w:link w:val="NotedebasdepageCar"/>
    <w:uiPriority w:val="99"/>
    <w:unhideWhenUsed/>
    <w:pPr>
      <w:spacing w:after="0" w:line="240" w:lineRule="auto"/>
    </w:pPr>
    <w:rPr>
      <w:sz w:val="20"/>
      <w:szCs w:val="20"/>
    </w:rPr>
  </w:style>
  <w:style w:type="character" w:customStyle="1" w:styleId="NotedebasdepageCar">
    <w:name w:val="Note de bas de page Car"/>
    <w:basedOn w:val="Policepardfaut"/>
    <w:link w:val="Notedebasdepage"/>
    <w:uiPriority w:val="99"/>
    <w:rPr>
      <w:sz w:val="20"/>
      <w:szCs w:val="20"/>
    </w:rPr>
  </w:style>
  <w:style w:type="character" w:styleId="Appelnotedebasdep">
    <w:name w:val="footnote reference"/>
    <w:basedOn w:val="Policepardfaut"/>
    <w:uiPriority w:val="99"/>
    <w:unhideWhenUsed/>
    <w:rPr>
      <w:vertAlign w:val="superscript"/>
    </w:rPr>
  </w:style>
  <w:style w:type="character" w:customStyle="1" w:styleId="Titre1Car">
    <w:name w:val="Titre 1 Car"/>
    <w:basedOn w:val="Policepardfaut"/>
    <w:link w:val="Titre1"/>
    <w:uiPriority w:val="9"/>
    <w:rPr>
      <w:rFonts w:asciiTheme="majorHAnsi" w:eastAsiaTheme="majorEastAsia" w:hAnsiTheme="majorHAnsi" w:cstheme="majorBidi"/>
      <w:color w:val="365F91" w:themeColor="accent1" w:themeShade="BF"/>
      <w:sz w:val="32"/>
      <w:szCs w:val="32"/>
    </w:rPr>
  </w:style>
  <w:style w:type="character" w:customStyle="1" w:styleId="Titre2Car">
    <w:name w:val="Titre 2 Car"/>
    <w:basedOn w:val="Policepardfaut"/>
    <w:link w:val="Titre2"/>
    <w:uiPriority w:val="9"/>
    <w:rPr>
      <w:rFonts w:asciiTheme="majorHAnsi" w:eastAsiaTheme="majorEastAsia" w:hAnsiTheme="majorHAnsi" w:cstheme="majorBidi"/>
      <w:color w:val="365F91" w:themeColor="accent1" w:themeShade="BF"/>
      <w:sz w:val="26"/>
      <w:szCs w:val="26"/>
    </w:rPr>
  </w:style>
  <w:style w:type="paragraph" w:styleId="Corpsdetexte">
    <w:name w:val="Body Text"/>
    <w:basedOn w:val="Normal"/>
    <w:link w:val="CorpsdetexteCar"/>
    <w:uiPriority w:val="1"/>
    <w:qFormat/>
    <w:pPr>
      <w:widowControl w:val="0"/>
      <w:spacing w:after="0" w:line="240" w:lineRule="auto"/>
    </w:pPr>
    <w:rPr>
      <w:rFonts w:ascii="Arial" w:eastAsia="Arial" w:hAnsi="Arial" w:cs="Arial"/>
      <w:sz w:val="20"/>
      <w:szCs w:val="20"/>
    </w:rPr>
  </w:style>
  <w:style w:type="character" w:customStyle="1" w:styleId="CorpsdetexteCar">
    <w:name w:val="Corps de texte Car"/>
    <w:basedOn w:val="Policepardfaut"/>
    <w:link w:val="Corpsdetexte"/>
    <w:uiPriority w:val="1"/>
    <w:rPr>
      <w:rFonts w:ascii="Arial" w:eastAsia="Arial" w:hAnsi="Arial" w:cs="Arial"/>
      <w:sz w:val="20"/>
      <w:szCs w:val="20"/>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character" w:customStyle="1" w:styleId="button-link-text">
    <w:name w:val="button-link-text"/>
    <w:basedOn w:val="Policepardfaut"/>
  </w:style>
  <w:style w:type="character" w:customStyle="1" w:styleId="react-xocs-alternative-link">
    <w:name w:val="react-xocs-alternative-link"/>
    <w:basedOn w:val="Policepardfaut"/>
  </w:style>
  <w:style w:type="character" w:customStyle="1" w:styleId="given-name">
    <w:name w:val="given-name"/>
    <w:basedOn w:val="Policepardfaut"/>
  </w:style>
  <w:style w:type="character" w:customStyle="1" w:styleId="text">
    <w:name w:val="text"/>
    <w:basedOn w:val="Policepardfaut"/>
  </w:style>
  <w:style w:type="character" w:customStyle="1" w:styleId="author-ref">
    <w:name w:val="author-ref"/>
    <w:basedOn w:val="Policepardfaut"/>
  </w:style>
  <w:style w:type="character" w:customStyle="1" w:styleId="ParagraphedelisteCar">
    <w:name w:val="Paragraphe de liste Car"/>
    <w:link w:val="Paragraphedeliste"/>
    <w:uiPriority w:val="34"/>
  </w:style>
  <w:style w:type="character" w:styleId="Lienhypertexte">
    <w:name w:val="Hyperlink"/>
    <w:basedOn w:val="Policepardfaut"/>
    <w:uiPriority w:val="99"/>
    <w:rPr>
      <w:color w:val="0000FF"/>
      <w:u w:val="single"/>
    </w:rPr>
  </w:style>
  <w:style w:type="paragraph" w:styleId="En-ttedetabledesmatires">
    <w:name w:val="TOC Heading"/>
    <w:basedOn w:val="Titre1"/>
    <w:next w:val="Normal"/>
    <w:uiPriority w:val="39"/>
    <w:unhideWhenUsed/>
    <w:qFormat/>
    <w:pPr>
      <w:spacing w:line="259" w:lineRule="auto"/>
      <w:outlineLvl w:val="9"/>
    </w:pPr>
    <w:rPr>
      <w:lang w:eastAsia="fr-FR"/>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character" w:customStyle="1" w:styleId="Titre3Car">
    <w:name w:val="Titre 3 Car"/>
    <w:basedOn w:val="Policepardfaut"/>
    <w:link w:val="Titre3"/>
    <w:uiPriority w:val="9"/>
    <w:rPr>
      <w:rFonts w:asciiTheme="majorHAnsi" w:eastAsiaTheme="majorEastAsia" w:hAnsiTheme="majorHAnsi" w:cstheme="majorBidi"/>
      <w:color w:val="243F60" w:themeColor="accent1" w:themeShade="7F"/>
      <w:sz w:val="24"/>
      <w:szCs w:val="24"/>
    </w:rPr>
  </w:style>
  <w:style w:type="paragraph" w:styleId="TM3">
    <w:name w:val="toc 3"/>
    <w:basedOn w:val="Normal"/>
    <w:next w:val="Normal"/>
    <w:uiPriority w:val="39"/>
    <w:unhideWhenUsed/>
    <w:pPr>
      <w:spacing w:after="100"/>
      <w:ind w:left="440"/>
    </w:p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Lienhypertextesuivivisit">
    <w:name w:val="FollowedHyperlink"/>
    <w:basedOn w:val="Policepardfaut"/>
    <w:uiPriority w:val="99"/>
    <w:semiHidden/>
    <w:unhideWhenUsed/>
    <w:rPr>
      <w:color w:val="800080" w:themeColor="followedHyperlink"/>
      <w:u w:val="single"/>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Rvision">
    <w:name w:val="Revision"/>
    <w:hidden/>
    <w:uiPriority w:val="99"/>
    <w:semiHidden/>
    <w:pPr>
      <w:spacing w:after="0" w:line="240" w:lineRule="auto"/>
    </w:pPr>
  </w:style>
  <w:style w:type="character" w:styleId="Mentionnonrsolue">
    <w:name w:val="Unresolved Mention"/>
    <w:basedOn w:val="Policepardfaut"/>
    <w:uiPriority w:val="99"/>
    <w:semiHidden/>
    <w:unhideWhenUsed/>
    <w:rsid w:val="000B4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3EDF8-F217-46AF-A3E1-38F3B6A8E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1723</Words>
  <Characters>9482</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CRETEL-DURAND, Elodie (ARS-PACA/DOS/DOH)</dc:creator>
  <cp:keywords/>
  <dc:description/>
  <cp:lastModifiedBy>ROHMAN, Vincent (ARS-IDF)</cp:lastModifiedBy>
  <cp:revision>6</cp:revision>
  <dcterms:created xsi:type="dcterms:W3CDTF">2025-06-02T15:51:00Z</dcterms:created>
  <dcterms:modified xsi:type="dcterms:W3CDTF">2025-06-13T12:44:00Z</dcterms:modified>
</cp:coreProperties>
</file>