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941B0" w14:textId="77777777" w:rsidR="003E1F45" w:rsidRPr="00CB66F3" w:rsidRDefault="00594C5B" w:rsidP="00CB66F3">
      <w:pPr>
        <w:pStyle w:val="Citationintense"/>
        <w:ind w:left="0"/>
        <w:rPr>
          <w:sz w:val="28"/>
        </w:rPr>
      </w:pPr>
      <w:bookmarkStart w:id="0" w:name="_GoBack"/>
      <w:bookmarkEnd w:id="0"/>
      <w:r w:rsidRPr="003E1F45">
        <w:rPr>
          <w:sz w:val="28"/>
        </w:rPr>
        <w:t>Conditions de délivrance de médicaments sur ordonnance étrangère pendant les J</w:t>
      </w:r>
      <w:r w:rsidR="003E1F45" w:rsidRPr="003E1F45">
        <w:rPr>
          <w:sz w:val="28"/>
        </w:rPr>
        <w:t xml:space="preserve">eux </w:t>
      </w:r>
      <w:r w:rsidRPr="003E1F45">
        <w:rPr>
          <w:sz w:val="28"/>
        </w:rPr>
        <w:t>O</w:t>
      </w:r>
      <w:r w:rsidR="003E1F45" w:rsidRPr="003E1F45">
        <w:rPr>
          <w:sz w:val="28"/>
        </w:rPr>
        <w:t xml:space="preserve">lympiques et </w:t>
      </w:r>
      <w:r w:rsidRPr="003E1F45">
        <w:rPr>
          <w:sz w:val="28"/>
        </w:rPr>
        <w:t>P</w:t>
      </w:r>
      <w:r w:rsidR="003E1F45" w:rsidRPr="003E1F45">
        <w:rPr>
          <w:sz w:val="28"/>
        </w:rPr>
        <w:t>aralympiques</w:t>
      </w:r>
      <w:r w:rsidR="00B1199D">
        <w:rPr>
          <w:sz w:val="28"/>
        </w:rPr>
        <w:t xml:space="preserve"> de PARIS 2024</w:t>
      </w:r>
      <w:r w:rsidRPr="003E1F45">
        <w:rPr>
          <w:sz w:val="28"/>
        </w:rPr>
        <w:t> :</w:t>
      </w:r>
    </w:p>
    <w:p w14:paraId="68E9EB88" w14:textId="44C2CD96" w:rsidR="00CB66F3" w:rsidRDefault="00594C5B" w:rsidP="003E1F45">
      <w:pPr>
        <w:pStyle w:val="Sansinterligne"/>
        <w:jc w:val="both"/>
      </w:pPr>
      <w:r>
        <w:t>Les conditions de délivrance de médicaments sur une ordonnance étrangère reste</w:t>
      </w:r>
      <w:r w:rsidR="00CC12A2">
        <w:t>nt</w:t>
      </w:r>
      <w:r>
        <w:t xml:space="preserve"> inchangée</w:t>
      </w:r>
      <w:r w:rsidR="00CC12A2">
        <w:t>s</w:t>
      </w:r>
      <w:r>
        <w:t xml:space="preserve"> dans le contexte des J</w:t>
      </w:r>
      <w:r w:rsidR="00E30D3F">
        <w:t>eux Olympique</w:t>
      </w:r>
      <w:r w:rsidR="007E04FD">
        <w:t>s</w:t>
      </w:r>
      <w:r w:rsidR="00E30D3F">
        <w:t xml:space="preserve"> et Paralympiques de </w:t>
      </w:r>
      <w:r>
        <w:t>P</w:t>
      </w:r>
      <w:r w:rsidR="00E30D3F">
        <w:t>ARIS 2024</w:t>
      </w:r>
      <w:r>
        <w:t>.</w:t>
      </w:r>
      <w:r w:rsidR="00CB66F3">
        <w:t xml:space="preserve"> </w:t>
      </w:r>
    </w:p>
    <w:p w14:paraId="70FD9E24" w14:textId="77777777" w:rsidR="00E30D3F" w:rsidRDefault="00594C5B" w:rsidP="003E1F45">
      <w:pPr>
        <w:pStyle w:val="Sansinterligne"/>
        <w:jc w:val="both"/>
      </w:pPr>
      <w:r>
        <w:t>Il convient de distinguer les deux cas de figures suivant :</w:t>
      </w:r>
    </w:p>
    <w:p w14:paraId="4CA8ADD5" w14:textId="77777777" w:rsidR="00594C5B" w:rsidRDefault="00594C5B" w:rsidP="003E1F45">
      <w:pPr>
        <w:pStyle w:val="Sansinterligne"/>
        <w:jc w:val="both"/>
      </w:pPr>
    </w:p>
    <w:p w14:paraId="7E21ADCD" w14:textId="439A49B0" w:rsidR="00E30D3F" w:rsidRDefault="00594C5B" w:rsidP="00262D8C">
      <w:pPr>
        <w:pStyle w:val="Sansinterligne"/>
        <w:numPr>
          <w:ilvl w:val="0"/>
          <w:numId w:val="4"/>
        </w:numPr>
        <w:jc w:val="both"/>
      </w:pPr>
      <w:r w:rsidRPr="00E30D3F">
        <w:rPr>
          <w:b/>
          <w:sz w:val="24"/>
          <w:u w:val="single"/>
        </w:rPr>
        <w:t>Pour les ordonnances rédigées par un médecin prescripteur</w:t>
      </w:r>
      <w:r w:rsidR="0052740F">
        <w:rPr>
          <w:b/>
          <w:sz w:val="24"/>
          <w:u w:val="single"/>
        </w:rPr>
        <w:t xml:space="preserve"> autorisé dans un Etat Membre</w:t>
      </w:r>
      <w:r w:rsidRPr="00E30D3F">
        <w:rPr>
          <w:b/>
          <w:sz w:val="24"/>
          <w:u w:val="single"/>
        </w:rPr>
        <w:t xml:space="preserve"> </w:t>
      </w:r>
      <w:r w:rsidR="00B56EC4" w:rsidRPr="00E30D3F">
        <w:rPr>
          <w:b/>
          <w:sz w:val="24"/>
          <w:u w:val="single"/>
        </w:rPr>
        <w:t>de l’Union Européenne</w:t>
      </w:r>
      <w:r w:rsidR="00D36D66" w:rsidRPr="00D36D66">
        <w:rPr>
          <w:b/>
          <w:sz w:val="24"/>
          <w:u w:val="single"/>
          <w:vertAlign w:val="superscript"/>
        </w:rPr>
        <w:t>(</w:t>
      </w:r>
      <w:r w:rsidR="0052740F">
        <w:rPr>
          <w:b/>
          <w:sz w:val="24"/>
          <w:u w:val="single"/>
          <w:vertAlign w:val="superscript"/>
        </w:rPr>
        <w:t>1</w:t>
      </w:r>
      <w:r w:rsidR="00D36D66" w:rsidRPr="00D36D66">
        <w:rPr>
          <w:b/>
          <w:sz w:val="24"/>
          <w:u w:val="single"/>
          <w:vertAlign w:val="superscript"/>
        </w:rPr>
        <w:t>)</w:t>
      </w:r>
      <w:r w:rsidRPr="00E30D3F">
        <w:rPr>
          <w:sz w:val="24"/>
          <w:u w:val="single"/>
        </w:rPr>
        <w:t> </w:t>
      </w:r>
      <w:r w:rsidRPr="00E30D3F">
        <w:rPr>
          <w:sz w:val="24"/>
        </w:rPr>
        <w:t>:</w:t>
      </w:r>
      <w:r w:rsidRPr="00594C5B">
        <w:t xml:space="preserve"> </w:t>
      </w:r>
    </w:p>
    <w:p w14:paraId="6D15811D" w14:textId="77777777" w:rsidR="007476FB" w:rsidRDefault="007476FB" w:rsidP="003E1F45">
      <w:pPr>
        <w:pStyle w:val="Sansinterligne"/>
        <w:jc w:val="both"/>
      </w:pPr>
    </w:p>
    <w:p w14:paraId="6D07283F" w14:textId="77777777" w:rsidR="00B56EC4" w:rsidRDefault="007476FB" w:rsidP="003E1F45">
      <w:pPr>
        <w:pStyle w:val="Sansinterligne"/>
        <w:jc w:val="both"/>
      </w:pPr>
      <w:r>
        <w:t>L</w:t>
      </w:r>
      <w:r w:rsidR="00594C5B" w:rsidRPr="00594C5B">
        <w:t>e pharmacien doit délivrer le médicament</w:t>
      </w:r>
      <w:r w:rsidR="00CB0F53">
        <w:t xml:space="preserve"> </w:t>
      </w:r>
      <w:r w:rsidR="00594C5B" w:rsidRPr="00594C5B">
        <w:t>sauf en cas de doute sur l’authenticité de l’ordonnance</w:t>
      </w:r>
      <w:r w:rsidR="00B56EC4">
        <w:t xml:space="preserve"> et sous</w:t>
      </w:r>
      <w:r w:rsidR="00CB0F53">
        <w:t xml:space="preserve"> les mêmes conditions que la délivrance d’une ordonnance française</w:t>
      </w:r>
      <w:r w:rsidR="00B56EC4">
        <w:t> :</w:t>
      </w:r>
    </w:p>
    <w:p w14:paraId="469FFCAF" w14:textId="77777777" w:rsidR="00B56EC4" w:rsidRDefault="00B56EC4" w:rsidP="003E1F45">
      <w:pPr>
        <w:pStyle w:val="Sansinterligne"/>
        <w:numPr>
          <w:ilvl w:val="0"/>
          <w:numId w:val="3"/>
        </w:numPr>
        <w:jc w:val="both"/>
      </w:pPr>
      <w:r>
        <w:t>Médicament autorisé et disponible en France.</w:t>
      </w:r>
    </w:p>
    <w:p w14:paraId="02ADB2E6" w14:textId="77777777" w:rsidR="00B56EC4" w:rsidRDefault="00B56EC4" w:rsidP="003E1F45">
      <w:pPr>
        <w:pStyle w:val="Sansinterligne"/>
        <w:numPr>
          <w:ilvl w:val="0"/>
          <w:numId w:val="3"/>
        </w:numPr>
        <w:jc w:val="both"/>
      </w:pPr>
      <w:r>
        <w:t>Identification du patient (Nom, prénom et date de naissance).</w:t>
      </w:r>
    </w:p>
    <w:p w14:paraId="5CB4D58E" w14:textId="2B053C95" w:rsidR="00B56EC4" w:rsidRDefault="00B56EC4" w:rsidP="003E1F45">
      <w:pPr>
        <w:pStyle w:val="Sansinterligne"/>
        <w:numPr>
          <w:ilvl w:val="0"/>
          <w:numId w:val="3"/>
        </w:numPr>
        <w:jc w:val="both"/>
      </w:pPr>
      <w:r>
        <w:t>Identification du prescripteur (Nom, prénom, adresse, spécialité</w:t>
      </w:r>
      <w:r w:rsidR="00CC12A2">
        <w:t>, coordonnées</w:t>
      </w:r>
      <w:r w:rsidR="00545445">
        <w:t xml:space="preserve">, spécialité </w:t>
      </w:r>
      <w:r w:rsidR="008177F7">
        <w:t xml:space="preserve">éventuelle </w:t>
      </w:r>
      <w:r w:rsidR="00545445">
        <w:t>du prescripteur</w:t>
      </w:r>
      <w:r w:rsidR="008177F7">
        <w:t>)</w:t>
      </w:r>
      <w:r w:rsidR="00545445">
        <w:t xml:space="preserve"> </w:t>
      </w:r>
    </w:p>
    <w:p w14:paraId="207184AD" w14:textId="77777777" w:rsidR="00B56EC4" w:rsidRDefault="00B56EC4" w:rsidP="003E1F45">
      <w:pPr>
        <w:pStyle w:val="Sansinterligne"/>
        <w:numPr>
          <w:ilvl w:val="0"/>
          <w:numId w:val="3"/>
        </w:numPr>
        <w:jc w:val="both"/>
      </w:pPr>
      <w:r>
        <w:t>Date de prescription.</w:t>
      </w:r>
    </w:p>
    <w:p w14:paraId="3DFBB465" w14:textId="77777777" w:rsidR="00B56EC4" w:rsidRDefault="00CC12A2" w:rsidP="003E1F45">
      <w:pPr>
        <w:pStyle w:val="Sansinterligne"/>
        <w:numPr>
          <w:ilvl w:val="0"/>
          <w:numId w:val="3"/>
        </w:numPr>
        <w:jc w:val="both"/>
      </w:pPr>
      <w:r>
        <w:t>Signature du médecin prescripteur.</w:t>
      </w:r>
    </w:p>
    <w:p w14:paraId="7C444E78" w14:textId="77777777" w:rsidR="00B56EC4" w:rsidRDefault="00B56EC4" w:rsidP="003E1F45">
      <w:pPr>
        <w:pStyle w:val="Sansinterligne"/>
        <w:numPr>
          <w:ilvl w:val="0"/>
          <w:numId w:val="3"/>
        </w:numPr>
        <w:jc w:val="both"/>
      </w:pPr>
      <w:r>
        <w:t>Nom du médicament, forme galénique, posologie et durée de traitement.</w:t>
      </w:r>
    </w:p>
    <w:p w14:paraId="6383523E" w14:textId="77777777" w:rsidR="003E1F45" w:rsidRDefault="00594C5B" w:rsidP="003E1F45">
      <w:pPr>
        <w:pStyle w:val="Sansinterligne"/>
      </w:pPr>
      <w:r w:rsidRPr="00594C5B">
        <w:t xml:space="preserve"> </w:t>
      </w:r>
    </w:p>
    <w:p w14:paraId="3FF71015" w14:textId="1FC875FF" w:rsidR="007476FB" w:rsidRPr="00B133C7" w:rsidRDefault="007476FB" w:rsidP="003E1F45">
      <w:pPr>
        <w:jc w:val="both"/>
        <w:rPr>
          <w:b/>
          <w:i/>
          <w:color w:val="FF0000"/>
        </w:rPr>
      </w:pPr>
      <w:r w:rsidRPr="00E30D3F">
        <w:rPr>
          <w:b/>
          <w:i/>
          <w:color w:val="FF0000"/>
        </w:rPr>
        <w:t>NB : la délivrance des médicaments stupéfiants ou assimilés stupéfiants n’est autorisée</w:t>
      </w:r>
      <w:r w:rsidR="0052740F">
        <w:rPr>
          <w:b/>
          <w:i/>
          <w:color w:val="FF0000"/>
        </w:rPr>
        <w:t xml:space="preserve"> que si l’ordonnance est sécurisée</w:t>
      </w:r>
      <w:r w:rsidR="0066531F">
        <w:rPr>
          <w:b/>
          <w:i/>
          <w:color w:val="FF0000"/>
        </w:rPr>
        <w:t xml:space="preserve"> et porte toutes les spécifications propres aux ordonnances françaises</w:t>
      </w:r>
      <w:r w:rsidRPr="00E30D3F">
        <w:rPr>
          <w:b/>
          <w:i/>
          <w:color w:val="FF0000"/>
        </w:rPr>
        <w:t>.</w:t>
      </w:r>
      <w:r w:rsidR="0052740F">
        <w:rPr>
          <w:b/>
          <w:i/>
          <w:color w:val="FF0000"/>
        </w:rPr>
        <w:t xml:space="preserve"> Si ce n’est pas le cas</w:t>
      </w:r>
      <w:r w:rsidR="0066531F">
        <w:rPr>
          <w:b/>
          <w:i/>
          <w:color w:val="FF0000"/>
        </w:rPr>
        <w:t xml:space="preserve">, le pharmacien peut délivrer une </w:t>
      </w:r>
      <w:r w:rsidR="0066531F" w:rsidRPr="00B14EB9">
        <w:rPr>
          <w:b/>
          <w:i/>
          <w:color w:val="FF0000"/>
        </w:rPr>
        <w:t>quantité minimale nécessaire pour assurer la continuité du traitement et permettre au malade d'obtenir une prescription</w:t>
      </w:r>
      <w:r w:rsidR="0066531F">
        <w:rPr>
          <w:b/>
          <w:i/>
          <w:color w:val="FF0000"/>
        </w:rPr>
        <w:t xml:space="preserve"> valide.</w:t>
      </w:r>
    </w:p>
    <w:p w14:paraId="0430BD44" w14:textId="390E7E3E" w:rsidR="007476FB" w:rsidRPr="00D36D66" w:rsidRDefault="00D36D66" w:rsidP="00CB66F3">
      <w:pPr>
        <w:jc w:val="both"/>
        <w:rPr>
          <w:i/>
          <w:sz w:val="18"/>
        </w:rPr>
      </w:pPr>
      <w:r w:rsidRPr="00D36D66">
        <w:rPr>
          <w:i/>
          <w:sz w:val="18"/>
          <w:vertAlign w:val="superscript"/>
        </w:rPr>
        <w:t>(1)</w:t>
      </w:r>
      <w:r w:rsidR="0052740F">
        <w:rPr>
          <w:i/>
          <w:sz w:val="18"/>
          <w:u w:val="single"/>
        </w:rPr>
        <w:t>Etats-Membres de l’UE</w:t>
      </w:r>
      <w:r w:rsidR="007476FB" w:rsidRPr="00D36D66">
        <w:rPr>
          <w:i/>
          <w:sz w:val="18"/>
        </w:rPr>
        <w:t xml:space="preserve">: Allemagne, Autriche, Belgique, </w:t>
      </w:r>
      <w:r w:rsidR="0052740F" w:rsidRPr="00D36D66">
        <w:rPr>
          <w:i/>
          <w:sz w:val="18"/>
        </w:rPr>
        <w:t>Bulgarie</w:t>
      </w:r>
      <w:r w:rsidR="0052740F">
        <w:rPr>
          <w:i/>
          <w:sz w:val="18"/>
        </w:rPr>
        <w:t xml:space="preserve">, </w:t>
      </w:r>
      <w:r w:rsidR="0052740F" w:rsidRPr="00D36D66">
        <w:rPr>
          <w:i/>
          <w:sz w:val="18"/>
        </w:rPr>
        <w:t>Chypre</w:t>
      </w:r>
      <w:r w:rsidR="0052740F">
        <w:rPr>
          <w:i/>
          <w:sz w:val="18"/>
        </w:rPr>
        <w:t xml:space="preserve">, </w:t>
      </w:r>
      <w:r w:rsidR="007476FB" w:rsidRPr="00D36D66">
        <w:rPr>
          <w:i/>
          <w:sz w:val="18"/>
        </w:rPr>
        <w:t>Croatie, Danemark, Espagne, Estonie, Finlande, Franc</w:t>
      </w:r>
      <w:r w:rsidR="00A05B95">
        <w:rPr>
          <w:i/>
          <w:sz w:val="18"/>
        </w:rPr>
        <w:t>e, Grèce, Hongrie, Irlande, Italie, Lettonie</w:t>
      </w:r>
      <w:r w:rsidR="007476FB" w:rsidRPr="00D36D66">
        <w:rPr>
          <w:i/>
          <w:sz w:val="18"/>
        </w:rPr>
        <w:t>, Lituan</w:t>
      </w:r>
      <w:r w:rsidR="00A05B95">
        <w:rPr>
          <w:i/>
          <w:sz w:val="18"/>
        </w:rPr>
        <w:t xml:space="preserve">ie, Luxembourg, Malte, </w:t>
      </w:r>
      <w:r w:rsidR="007476FB" w:rsidRPr="00D36D66">
        <w:rPr>
          <w:i/>
          <w:sz w:val="18"/>
        </w:rPr>
        <w:t>Pays-Bas, Pologne, Portugal, République tchèque,</w:t>
      </w:r>
      <w:r w:rsidR="0052740F" w:rsidRPr="0052740F">
        <w:rPr>
          <w:i/>
          <w:sz w:val="18"/>
        </w:rPr>
        <w:t xml:space="preserve"> </w:t>
      </w:r>
      <w:r w:rsidR="0052740F" w:rsidRPr="00D36D66">
        <w:rPr>
          <w:i/>
          <w:sz w:val="18"/>
        </w:rPr>
        <w:t>Roumanie</w:t>
      </w:r>
      <w:r w:rsidR="0052740F">
        <w:rPr>
          <w:i/>
          <w:sz w:val="18"/>
        </w:rPr>
        <w:t>,</w:t>
      </w:r>
      <w:r w:rsidR="00A05B95">
        <w:rPr>
          <w:i/>
          <w:sz w:val="18"/>
        </w:rPr>
        <w:t xml:space="preserve"> Slovaquie, Slovénie, Suède.</w:t>
      </w:r>
    </w:p>
    <w:p w14:paraId="1F0486AA" w14:textId="7F41EE0E" w:rsidR="007476FB" w:rsidRDefault="00CB0F53" w:rsidP="003E1F45">
      <w:pPr>
        <w:pStyle w:val="Sansinterligne"/>
        <w:numPr>
          <w:ilvl w:val="0"/>
          <w:numId w:val="4"/>
        </w:numPr>
        <w:jc w:val="both"/>
        <w:rPr>
          <w:sz w:val="24"/>
        </w:rPr>
      </w:pPr>
      <w:r w:rsidRPr="003E1F45">
        <w:rPr>
          <w:b/>
          <w:sz w:val="24"/>
          <w:u w:val="single"/>
        </w:rPr>
        <w:t xml:space="preserve">Pour les ordonnances rédigées par un médecin exerçant hors </w:t>
      </w:r>
      <w:r w:rsidR="00A05B95">
        <w:rPr>
          <w:b/>
          <w:sz w:val="24"/>
          <w:u w:val="single"/>
        </w:rPr>
        <w:t>Union Européenne</w:t>
      </w:r>
      <w:r w:rsidR="007476FB" w:rsidRPr="003E1F45">
        <w:rPr>
          <w:sz w:val="24"/>
        </w:rPr>
        <w:t> :</w:t>
      </w:r>
    </w:p>
    <w:p w14:paraId="0BAEE7AD" w14:textId="77777777" w:rsidR="007476FB" w:rsidRDefault="007476FB" w:rsidP="003E1F45">
      <w:pPr>
        <w:pStyle w:val="Sansinterligne"/>
        <w:jc w:val="both"/>
      </w:pPr>
    </w:p>
    <w:p w14:paraId="4FFA8900" w14:textId="77777777" w:rsidR="00CB0F53" w:rsidRDefault="007476FB" w:rsidP="003E1F45">
      <w:pPr>
        <w:pStyle w:val="Sansinterligne"/>
        <w:jc w:val="both"/>
      </w:pPr>
      <w:r>
        <w:t>L</w:t>
      </w:r>
      <w:r w:rsidR="00CB0F53">
        <w:t xml:space="preserve">a délivrance est basée sur un système type « dépannage », uniquement en cas d’urgence. Cette délivrance se fait sous conditions : </w:t>
      </w:r>
    </w:p>
    <w:p w14:paraId="5966A4D5" w14:textId="1DDC59C9" w:rsidR="00CB0F53" w:rsidRDefault="00CB0F53" w:rsidP="003E1F45">
      <w:pPr>
        <w:pStyle w:val="Sansinterligne"/>
        <w:numPr>
          <w:ilvl w:val="0"/>
          <w:numId w:val="2"/>
        </w:numPr>
        <w:jc w:val="both"/>
      </w:pPr>
      <w:r>
        <w:t>Ordonnance aut</w:t>
      </w:r>
      <w:r w:rsidR="00800B94">
        <w:t>hentique (originale) et lisible comportant l’ensemble des mentions réglementaires citées dans le paragraphe précédent permettant la délivrance d’une ordonnance française</w:t>
      </w:r>
      <w:r w:rsidR="003A570E">
        <w:t xml:space="preserve"> ou émanant d’un Etat-Membre</w:t>
      </w:r>
      <w:r w:rsidR="00800B94">
        <w:t xml:space="preserve"> de l’Union Européenne.</w:t>
      </w:r>
    </w:p>
    <w:p w14:paraId="51CE656E" w14:textId="77777777" w:rsidR="00CB0F53" w:rsidRDefault="00CB0F53" w:rsidP="003E1F45">
      <w:pPr>
        <w:pStyle w:val="Sansinterligne"/>
        <w:numPr>
          <w:ilvl w:val="0"/>
          <w:numId w:val="2"/>
        </w:numPr>
        <w:jc w:val="both"/>
      </w:pPr>
      <w:r>
        <w:t>Délivrance de la quantité minimale</w:t>
      </w:r>
      <w:r w:rsidR="00CC12A2">
        <w:t xml:space="preserve"> de médicaments</w:t>
      </w:r>
      <w:r>
        <w:t xml:space="preserve"> (sans déconditionnement) pour permettre au patient</w:t>
      </w:r>
      <w:r w:rsidR="007476FB">
        <w:t xml:space="preserve"> d’assurer la continuité de</w:t>
      </w:r>
      <w:r>
        <w:t xml:space="preserve"> son traitement </w:t>
      </w:r>
      <w:r w:rsidR="00CC12A2">
        <w:t>dans l’attente</w:t>
      </w:r>
      <w:r>
        <w:t xml:space="preserve"> d’obtenir une</w:t>
      </w:r>
      <w:r w:rsidR="007476FB">
        <w:t xml:space="preserve"> prescription médicale française</w:t>
      </w:r>
      <w:r w:rsidR="00545445">
        <w:t xml:space="preserve"> valide</w:t>
      </w:r>
      <w:r>
        <w:t>.</w:t>
      </w:r>
    </w:p>
    <w:p w14:paraId="761615EF" w14:textId="77777777" w:rsidR="00CB0F53" w:rsidRDefault="00CB0F53" w:rsidP="003E1F45">
      <w:pPr>
        <w:pStyle w:val="Sansinterligne"/>
        <w:numPr>
          <w:ilvl w:val="0"/>
          <w:numId w:val="2"/>
        </w:numPr>
        <w:jc w:val="both"/>
      </w:pPr>
      <w:r>
        <w:t>La notion d’urgence est à l’appréciation du pharmacien.</w:t>
      </w:r>
    </w:p>
    <w:p w14:paraId="48545E05" w14:textId="77777777" w:rsidR="003E1F45" w:rsidRDefault="003E1F45" w:rsidP="003E1F45">
      <w:pPr>
        <w:pStyle w:val="Sansinterligne"/>
        <w:jc w:val="both"/>
      </w:pPr>
    </w:p>
    <w:p w14:paraId="2B19CE91" w14:textId="606ACCF0" w:rsidR="00E30D3F" w:rsidRDefault="002D6C41" w:rsidP="003E1F45">
      <w:pPr>
        <w:pStyle w:val="Sansinterligne"/>
        <w:jc w:val="both"/>
      </w:pPr>
      <w:r w:rsidRPr="003E1F45">
        <w:rPr>
          <w:u w:val="single"/>
        </w:rPr>
        <w:t>Références</w:t>
      </w:r>
      <w:r>
        <w:t> :</w:t>
      </w:r>
      <w:r w:rsidR="00B56EC4">
        <w:t xml:space="preserve"> CSP R.5132-6-2 et BPDM (Bonnes Pratiques de Délivrance d</w:t>
      </w:r>
      <w:r w:rsidR="000A679F">
        <w:t>es</w:t>
      </w:r>
      <w:r w:rsidR="00B56EC4">
        <w:t xml:space="preserve"> Médicament</w:t>
      </w:r>
      <w:r w:rsidR="000A679F">
        <w:t xml:space="preserve">s </w:t>
      </w:r>
      <w:r w:rsidR="003A570E">
        <w:t>dans les pharmacies d’officine, arrêté du 28 novembre 2016 modifié</w:t>
      </w:r>
      <w:r w:rsidR="00B56EC4">
        <w:t>).</w:t>
      </w:r>
      <w:r w:rsidR="00E30D3F">
        <w:t xml:space="preserve"> </w:t>
      </w:r>
    </w:p>
    <w:p w14:paraId="1816479A" w14:textId="77777777" w:rsidR="00CB66F3" w:rsidRDefault="00CB66F3" w:rsidP="003E1F45">
      <w:pPr>
        <w:pStyle w:val="Sansinterligne"/>
        <w:jc w:val="both"/>
      </w:pPr>
    </w:p>
    <w:p w14:paraId="29C597E4" w14:textId="77777777" w:rsidR="00B56EC4" w:rsidRDefault="007476FB" w:rsidP="003E1F45">
      <w:pPr>
        <w:pStyle w:val="Sansinterligne"/>
        <w:jc w:val="both"/>
      </w:pPr>
      <w:r w:rsidRPr="003E1F45">
        <w:rPr>
          <w:b/>
          <w:color w:val="FF0000"/>
        </w:rPr>
        <w:lastRenderedPageBreak/>
        <w:t>Selon la décision n° 270229 du 26 octobre 2005</w:t>
      </w:r>
      <w:r w:rsidR="003E1F45" w:rsidRPr="003E1F45">
        <w:rPr>
          <w:b/>
          <w:color w:val="FF0000"/>
        </w:rPr>
        <w:t xml:space="preserve"> du Conseil d’Etat,</w:t>
      </w:r>
      <w:r w:rsidRPr="003E1F45">
        <w:rPr>
          <w:b/>
          <w:color w:val="FF0000"/>
        </w:rPr>
        <w:t xml:space="preserve"> la délivrance des médicaments doit être effectuée au vu « des originaux de ces ordonnances » et non « de simples télécopies d’ordonnances ».</w:t>
      </w:r>
      <w:r w:rsidR="00B56EC4">
        <w:t xml:space="preserve">  </w:t>
      </w:r>
    </w:p>
    <w:p w14:paraId="1C60E178" w14:textId="77777777" w:rsidR="003A570E" w:rsidRDefault="003A570E" w:rsidP="003E1F45">
      <w:pPr>
        <w:pStyle w:val="Sansinterligne"/>
        <w:jc w:val="both"/>
      </w:pPr>
    </w:p>
    <w:p w14:paraId="4BB671B0" w14:textId="77777777" w:rsidR="003A570E" w:rsidRDefault="003A570E">
      <w:r>
        <w:br w:type="page"/>
      </w:r>
    </w:p>
    <w:p w14:paraId="31345683" w14:textId="77777777" w:rsidR="003A570E" w:rsidRPr="00594C5B" w:rsidRDefault="003A570E" w:rsidP="003E1F45">
      <w:pPr>
        <w:pStyle w:val="Sansinterligne"/>
        <w:jc w:val="both"/>
      </w:pPr>
    </w:p>
    <w:p w14:paraId="3FE7B6CF" w14:textId="77777777" w:rsidR="002E32F2" w:rsidRDefault="00E30D3F" w:rsidP="00B133C7">
      <w:pPr>
        <w:pStyle w:val="Citationintense"/>
        <w:rPr>
          <w:sz w:val="28"/>
        </w:rPr>
      </w:pPr>
      <w:r>
        <w:rPr>
          <w:sz w:val="28"/>
        </w:rPr>
        <w:t>Conditions de mise en place du système de g</w:t>
      </w:r>
      <w:r w:rsidR="00B133C7" w:rsidRPr="00E30D3F">
        <w:rPr>
          <w:sz w:val="28"/>
        </w:rPr>
        <w:t>ardes</w:t>
      </w:r>
      <w:r>
        <w:rPr>
          <w:sz w:val="28"/>
        </w:rPr>
        <w:t xml:space="preserve"> pour les pharmacies d’officine</w:t>
      </w:r>
      <w:r w:rsidR="00011790">
        <w:rPr>
          <w:sz w:val="28"/>
        </w:rPr>
        <w:t xml:space="preserve"> pendant les Jeux Olympiques et Paralympiques de PARIS 2024</w:t>
      </w:r>
      <w:r>
        <w:rPr>
          <w:sz w:val="28"/>
        </w:rPr>
        <w:t> :</w:t>
      </w:r>
      <w:r w:rsidR="00B1199D" w:rsidRPr="00E30D3F">
        <w:rPr>
          <w:sz w:val="28"/>
        </w:rPr>
        <w:t xml:space="preserve"> </w:t>
      </w:r>
    </w:p>
    <w:p w14:paraId="375CE729" w14:textId="513ADC29" w:rsidR="00594C5B" w:rsidRDefault="00F619DD" w:rsidP="002056F9">
      <w:pPr>
        <w:pStyle w:val="Sansinterligne"/>
        <w:jc w:val="both"/>
      </w:pPr>
      <w:r>
        <w:t>Il est</w:t>
      </w:r>
      <w:r w:rsidR="002E32F2">
        <w:t xml:space="preserve"> rappelé les points suivants :</w:t>
      </w:r>
    </w:p>
    <w:p w14:paraId="021CE012" w14:textId="77777777" w:rsidR="0077558B" w:rsidRDefault="0077558B" w:rsidP="002056F9">
      <w:pPr>
        <w:pStyle w:val="Sansinterligne"/>
        <w:jc w:val="both"/>
      </w:pPr>
    </w:p>
    <w:p w14:paraId="28CCD3A7" w14:textId="77777777" w:rsidR="00997F6B" w:rsidRPr="00997F6B" w:rsidRDefault="002E32F2" w:rsidP="002056F9">
      <w:pPr>
        <w:pStyle w:val="Sansinterligne"/>
        <w:numPr>
          <w:ilvl w:val="0"/>
          <w:numId w:val="2"/>
        </w:numPr>
        <w:jc w:val="both"/>
      </w:pPr>
      <w:r w:rsidRPr="00997F6B">
        <w:t>Un service de garde est organisé pour répondre aux besoins du public en dehors des jours d'ouverture généralement pratiqués par les offi</w:t>
      </w:r>
      <w:r w:rsidR="0077558B">
        <w:t>cines dans une zone déterminée (gardes en journée).</w:t>
      </w:r>
    </w:p>
    <w:p w14:paraId="54E08197" w14:textId="77777777" w:rsidR="002E32F2" w:rsidRPr="00997F6B" w:rsidRDefault="002E32F2" w:rsidP="002056F9">
      <w:pPr>
        <w:pStyle w:val="Sansinterligne"/>
        <w:numPr>
          <w:ilvl w:val="0"/>
          <w:numId w:val="2"/>
        </w:numPr>
        <w:jc w:val="both"/>
      </w:pPr>
      <w:r w:rsidRPr="00997F6B">
        <w:t>Un service d'urgence est organisé pour répondre aux demandes urgentes en dehors des heures d'ouverture généralement pratiquées par ces officines</w:t>
      </w:r>
      <w:r w:rsidR="0077558B">
        <w:t xml:space="preserve"> (gardes de nuit).</w:t>
      </w:r>
    </w:p>
    <w:p w14:paraId="5DDFB6E1" w14:textId="0F5E38B6" w:rsidR="002E32F2" w:rsidRPr="00997F6B" w:rsidRDefault="00997F6B" w:rsidP="002056F9">
      <w:pPr>
        <w:pStyle w:val="Sansinterligne"/>
        <w:numPr>
          <w:ilvl w:val="0"/>
          <w:numId w:val="2"/>
        </w:numPr>
        <w:jc w:val="both"/>
      </w:pPr>
      <w:r w:rsidRPr="00997F6B">
        <w:t>L'organisation des services de garde et d'urgence est</w:t>
      </w:r>
      <w:r w:rsidR="008B27AF">
        <w:t xml:space="preserve"> </w:t>
      </w:r>
      <w:r w:rsidRPr="00997F6B">
        <w:rPr>
          <w:bCs/>
        </w:rPr>
        <w:t>réglée par les syndicats représentatifs de la</w:t>
      </w:r>
      <w:r>
        <w:rPr>
          <w:bCs/>
        </w:rPr>
        <w:t xml:space="preserve"> profession dans le département (sauf exceptions</w:t>
      </w:r>
      <w:r w:rsidRPr="0077558B">
        <w:rPr>
          <w:bCs/>
          <w:i/>
        </w:rPr>
        <w:t>**</w:t>
      </w:r>
      <w:r>
        <w:rPr>
          <w:bCs/>
        </w:rPr>
        <w:t>).</w:t>
      </w:r>
    </w:p>
    <w:p w14:paraId="6A77AD8D" w14:textId="66C72906" w:rsidR="00997F6B" w:rsidRPr="00997F6B" w:rsidRDefault="00997F6B" w:rsidP="002056F9">
      <w:pPr>
        <w:pStyle w:val="Sansinterligne"/>
        <w:numPr>
          <w:ilvl w:val="0"/>
          <w:numId w:val="2"/>
        </w:numPr>
        <w:jc w:val="both"/>
      </w:pPr>
      <w:r w:rsidRPr="00011790">
        <w:rPr>
          <w:b/>
          <w:bCs/>
        </w:rPr>
        <w:t>L’ouverture le dimanche n’est pas autorisée</w:t>
      </w:r>
      <w:r>
        <w:rPr>
          <w:bCs/>
        </w:rPr>
        <w:t xml:space="preserve"> en cas de publication d’un </w:t>
      </w:r>
      <w:r w:rsidRPr="00B14EB9">
        <w:rPr>
          <w:b/>
          <w:bCs/>
        </w:rPr>
        <w:t xml:space="preserve">arrêté </w:t>
      </w:r>
      <w:r w:rsidR="008B27AF" w:rsidRPr="00B14EB9">
        <w:rPr>
          <w:b/>
          <w:bCs/>
        </w:rPr>
        <w:t>préfectoral</w:t>
      </w:r>
      <w:r w:rsidR="008B27AF">
        <w:rPr>
          <w:bCs/>
        </w:rPr>
        <w:t xml:space="preserve"> imposant la fermeture des pharmacies en-dehors de celles inscrites au tableau de garde</w:t>
      </w:r>
      <w:r>
        <w:rPr>
          <w:bCs/>
        </w:rPr>
        <w:t xml:space="preserve"> le dimanche dans le département</w:t>
      </w:r>
      <w:r w:rsidR="0077558B">
        <w:rPr>
          <w:bCs/>
        </w:rPr>
        <w:t xml:space="preserve"> concerné</w:t>
      </w:r>
      <w:r>
        <w:rPr>
          <w:bCs/>
        </w:rPr>
        <w:t>.</w:t>
      </w:r>
    </w:p>
    <w:p w14:paraId="0C49F5EF" w14:textId="77777777" w:rsidR="00545445" w:rsidRDefault="00997F6B" w:rsidP="002056F9">
      <w:pPr>
        <w:pStyle w:val="Sansinterligne"/>
        <w:numPr>
          <w:ilvl w:val="0"/>
          <w:numId w:val="2"/>
        </w:numPr>
        <w:jc w:val="both"/>
      </w:pPr>
      <w:r w:rsidRPr="00997F6B">
        <w:t xml:space="preserve">Un pharmacien qui </w:t>
      </w:r>
      <w:r w:rsidR="00545445">
        <w:t>doit ouvrir</w:t>
      </w:r>
      <w:r w:rsidRPr="00997F6B">
        <w:t xml:space="preserve"> son officine pendant un service de garde ou d'urgence, alors qu'il n'est pas lui-même de service</w:t>
      </w:r>
      <w:r w:rsidR="00545445">
        <w:t xml:space="preserve"> ce jour-là</w:t>
      </w:r>
      <w:r w:rsidRPr="00997F6B">
        <w:t>, doit la tenir ouverte</w:t>
      </w:r>
      <w:r w:rsidR="00545445">
        <w:t xml:space="preserve"> : </w:t>
      </w:r>
    </w:p>
    <w:p w14:paraId="0C6C8108" w14:textId="77777777" w:rsidR="00545445" w:rsidRPr="00545445" w:rsidRDefault="00545445" w:rsidP="00545445">
      <w:pPr>
        <w:pStyle w:val="Sansinterligne"/>
        <w:numPr>
          <w:ilvl w:val="0"/>
          <w:numId w:val="5"/>
        </w:numPr>
        <w:jc w:val="both"/>
      </w:pPr>
      <w:r>
        <w:rPr>
          <w:b/>
        </w:rPr>
        <w:t>Pour les gardes en journée : d</w:t>
      </w:r>
      <w:r w:rsidR="00997F6B" w:rsidRPr="00011790">
        <w:rPr>
          <w:b/>
        </w:rPr>
        <w:t>urant toute l’amplitude horaire habituellement effectuée</w:t>
      </w:r>
      <w:r>
        <w:rPr>
          <w:b/>
        </w:rPr>
        <w:t>.</w:t>
      </w:r>
    </w:p>
    <w:p w14:paraId="399ED404" w14:textId="77777777" w:rsidR="00545445" w:rsidRDefault="00545445" w:rsidP="00545445">
      <w:pPr>
        <w:pStyle w:val="Sansinterligne"/>
        <w:numPr>
          <w:ilvl w:val="0"/>
          <w:numId w:val="5"/>
        </w:numPr>
        <w:jc w:val="both"/>
      </w:pPr>
      <w:r>
        <w:rPr>
          <w:b/>
        </w:rPr>
        <w:t>Pour les gardes de nuit : de 20h à 8h du matin</w:t>
      </w:r>
      <w:r w:rsidR="00997F6B" w:rsidRPr="00997F6B">
        <w:t>.</w:t>
      </w:r>
    </w:p>
    <w:p w14:paraId="1D387B91" w14:textId="77777777" w:rsidR="0077558B" w:rsidRDefault="00997F6B" w:rsidP="00545445">
      <w:pPr>
        <w:pStyle w:val="Sansinterligne"/>
        <w:ind w:left="1065"/>
        <w:jc w:val="both"/>
      </w:pPr>
      <w:r>
        <w:t>Ainsi, une pharmacie</w:t>
      </w:r>
      <w:r w:rsidR="00545445">
        <w:t xml:space="preserve"> de garde</w:t>
      </w:r>
      <w:r>
        <w:t xml:space="preserve"> ne pourra en aucun cas n’être ouverte que pour quelques heures ou pour une demi-journée.</w:t>
      </w:r>
    </w:p>
    <w:p w14:paraId="1AE9228D" w14:textId="77777777" w:rsidR="00011790" w:rsidRDefault="00011790" w:rsidP="002056F9">
      <w:pPr>
        <w:pStyle w:val="Sansinterligne"/>
        <w:jc w:val="both"/>
        <w:rPr>
          <w:u w:val="single"/>
          <w:shd w:val="clear" w:color="auto" w:fill="FFFFFF"/>
        </w:rPr>
      </w:pPr>
    </w:p>
    <w:p w14:paraId="7CDF2986" w14:textId="21F067F2" w:rsidR="00477EF8" w:rsidRPr="00477EF8" w:rsidRDefault="00477EF8" w:rsidP="002056F9">
      <w:pPr>
        <w:pStyle w:val="Sansinterligne"/>
        <w:jc w:val="both"/>
        <w:rPr>
          <w:shd w:val="clear" w:color="auto" w:fill="FFFFFF"/>
        </w:rPr>
      </w:pPr>
      <w:r w:rsidRPr="00477EF8">
        <w:rPr>
          <w:u w:val="single"/>
          <w:shd w:val="clear" w:color="auto" w:fill="FFFFFF"/>
        </w:rPr>
        <w:t>Références</w:t>
      </w:r>
      <w:r w:rsidRPr="00477EF8">
        <w:rPr>
          <w:shd w:val="clear" w:color="auto" w:fill="FFFFFF"/>
        </w:rPr>
        <w:t> : art. L.5125-17 du CSP, arrêté préfectoral de fermeture</w:t>
      </w:r>
      <w:r w:rsidR="00B14EB9">
        <w:rPr>
          <w:shd w:val="clear" w:color="auto" w:fill="FFFFFF"/>
        </w:rPr>
        <w:t xml:space="preserve"> (selon le département considéré</w:t>
      </w:r>
      <w:r w:rsidR="00567AC1">
        <w:rPr>
          <w:shd w:val="clear" w:color="auto" w:fill="FFFFFF"/>
        </w:rPr>
        <w:t>)</w:t>
      </w:r>
      <w:r w:rsidRPr="00477EF8">
        <w:rPr>
          <w:shd w:val="clear" w:color="auto" w:fill="FFFFFF"/>
        </w:rPr>
        <w:t>.</w:t>
      </w:r>
    </w:p>
    <w:p w14:paraId="184903A0" w14:textId="77777777" w:rsidR="00011790" w:rsidRDefault="00011790" w:rsidP="0077558B">
      <w:pPr>
        <w:rPr>
          <w:i/>
          <w:sz w:val="18"/>
        </w:rPr>
      </w:pPr>
    </w:p>
    <w:p w14:paraId="20FF3EFA" w14:textId="77777777" w:rsidR="0077558B" w:rsidRDefault="0077558B" w:rsidP="002056F9">
      <w:pPr>
        <w:jc w:val="both"/>
        <w:rPr>
          <w:rFonts w:ascii="Arial" w:hAnsi="Arial" w:cs="Arial"/>
          <w:i/>
          <w:color w:val="000000"/>
          <w:sz w:val="18"/>
          <w:szCs w:val="21"/>
          <w:shd w:val="clear" w:color="auto" w:fill="FFFFFF"/>
        </w:rPr>
      </w:pPr>
      <w:r w:rsidRPr="0077558B">
        <w:rPr>
          <w:rFonts w:ascii="Arial" w:hAnsi="Arial" w:cs="Arial"/>
          <w:i/>
          <w:color w:val="000000"/>
          <w:sz w:val="18"/>
          <w:szCs w:val="21"/>
          <w:shd w:val="clear" w:color="auto" w:fill="FFFFFF"/>
        </w:rPr>
        <w:t>**A défaut d'accord entre les officines, ou si l'organisation retenue ne permet pas de satisfaire les besoins de santé publique, un arrêté du directeur général de l'agence régionale de santé règle les services de garde après avis des syndicats de pharmacien et du conseil de l'ordre des pharmaciens.</w:t>
      </w:r>
    </w:p>
    <w:p w14:paraId="7B1FD143" w14:textId="77777777" w:rsidR="00477EF8" w:rsidRPr="00477EF8" w:rsidRDefault="00477EF8" w:rsidP="002056F9">
      <w:pPr>
        <w:jc w:val="both"/>
        <w:rPr>
          <w:rFonts w:cstheme="minorHAnsi"/>
          <w:color w:val="000000"/>
          <w:szCs w:val="21"/>
          <w:shd w:val="clear" w:color="auto" w:fill="FFFFFF"/>
        </w:rPr>
      </w:pPr>
    </w:p>
    <w:sectPr w:rsidR="00477EF8" w:rsidRPr="00477EF8" w:rsidSect="00E30D3F">
      <w:headerReference w:type="default" r:id="rId7"/>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3AC9E" w14:textId="77777777" w:rsidR="003D6F21" w:rsidRDefault="003D6F21" w:rsidP="00E30D3F">
      <w:pPr>
        <w:spacing w:after="0" w:line="240" w:lineRule="auto"/>
      </w:pPr>
      <w:r>
        <w:separator/>
      </w:r>
    </w:p>
  </w:endnote>
  <w:endnote w:type="continuationSeparator" w:id="0">
    <w:p w14:paraId="1E495982" w14:textId="77777777" w:rsidR="003D6F21" w:rsidRDefault="003D6F21" w:rsidP="00E3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E4A5B" w14:textId="77777777" w:rsidR="003D6F21" w:rsidRDefault="003D6F21" w:rsidP="00E30D3F">
      <w:pPr>
        <w:spacing w:after="0" w:line="240" w:lineRule="auto"/>
      </w:pPr>
      <w:r>
        <w:separator/>
      </w:r>
    </w:p>
  </w:footnote>
  <w:footnote w:type="continuationSeparator" w:id="0">
    <w:p w14:paraId="601FA821" w14:textId="77777777" w:rsidR="003D6F21" w:rsidRDefault="003D6F21" w:rsidP="00E30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7630" w14:textId="77777777" w:rsidR="00E30D3F" w:rsidRPr="00E30D3F" w:rsidRDefault="00E30D3F">
    <w:pPr>
      <w:pStyle w:val="En-tte"/>
    </w:pPr>
    <w:r>
      <w:rPr>
        <w:noProof/>
        <w:lang w:eastAsia="fr-FR"/>
      </w:rPr>
      <w:drawing>
        <wp:anchor distT="0" distB="0" distL="114300" distR="114300" simplePos="0" relativeHeight="251659264" behindDoc="1" locked="0" layoutInCell="1" allowOverlap="1" wp14:anchorId="76279F6C" wp14:editId="691BE52C">
          <wp:simplePos x="0" y="0"/>
          <wp:positionH relativeFrom="column">
            <wp:posOffset>-563052</wp:posOffset>
          </wp:positionH>
          <wp:positionV relativeFrom="paragraph">
            <wp:posOffset>-203835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anchor>
      </w:drawing>
    </w:r>
    <w:r w:rsidRPr="00121493">
      <w:rPr>
        <w:noProof/>
        <w:lang w:eastAsia="fr-FR"/>
      </w:rPr>
      <w:drawing>
        <wp:anchor distT="0" distB="0" distL="114300" distR="114300" simplePos="0" relativeHeight="251661312" behindDoc="0" locked="0" layoutInCell="1" allowOverlap="1" wp14:anchorId="6E33BB66" wp14:editId="51A91FE8">
          <wp:simplePos x="0" y="0"/>
          <wp:positionH relativeFrom="column">
            <wp:posOffset>4826359</wp:posOffset>
          </wp:positionH>
          <wp:positionV relativeFrom="paragraph">
            <wp:posOffset>-27526</wp:posOffset>
          </wp:positionV>
          <wp:extent cx="1475740" cy="845185"/>
          <wp:effectExtent l="0" t="0" r="0" b="0"/>
          <wp:wrapTopAndBottom/>
          <wp:docPr id="5" name="Image 5"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ED8"/>
      </v:shape>
    </w:pict>
  </w:numPicBullet>
  <w:abstractNum w:abstractNumId="0" w15:restartNumberingAfterBreak="0">
    <w:nsid w:val="0DFB7ECE"/>
    <w:multiLevelType w:val="hybridMultilevel"/>
    <w:tmpl w:val="5D84F884"/>
    <w:lvl w:ilvl="0" w:tplc="31DE60B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2F4EE5"/>
    <w:multiLevelType w:val="hybridMultilevel"/>
    <w:tmpl w:val="D1A8CA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BD11F7"/>
    <w:multiLevelType w:val="hybridMultilevel"/>
    <w:tmpl w:val="569AAEDA"/>
    <w:lvl w:ilvl="0" w:tplc="D2242D2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34153A90"/>
    <w:multiLevelType w:val="hybridMultilevel"/>
    <w:tmpl w:val="CA2A41B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7AF443E4"/>
    <w:multiLevelType w:val="hybridMultilevel"/>
    <w:tmpl w:val="965020BA"/>
    <w:lvl w:ilvl="0" w:tplc="75001F5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5B"/>
    <w:rsid w:val="00011790"/>
    <w:rsid w:val="000A679F"/>
    <w:rsid w:val="001F06FF"/>
    <w:rsid w:val="002056F9"/>
    <w:rsid w:val="002D6C41"/>
    <w:rsid w:val="002E32F2"/>
    <w:rsid w:val="00382BDA"/>
    <w:rsid w:val="003A570E"/>
    <w:rsid w:val="003D6F21"/>
    <w:rsid w:val="003E1F45"/>
    <w:rsid w:val="00477EF8"/>
    <w:rsid w:val="004E2DC3"/>
    <w:rsid w:val="005119C2"/>
    <w:rsid w:val="0052740F"/>
    <w:rsid w:val="00545445"/>
    <w:rsid w:val="00567AC1"/>
    <w:rsid w:val="00594C5B"/>
    <w:rsid w:val="005D66A3"/>
    <w:rsid w:val="0066531F"/>
    <w:rsid w:val="007476FB"/>
    <w:rsid w:val="0077558B"/>
    <w:rsid w:val="007E04FD"/>
    <w:rsid w:val="00800B94"/>
    <w:rsid w:val="008177F7"/>
    <w:rsid w:val="008676F2"/>
    <w:rsid w:val="008B246A"/>
    <w:rsid w:val="008B27AF"/>
    <w:rsid w:val="008F09AB"/>
    <w:rsid w:val="00997F6B"/>
    <w:rsid w:val="009E674A"/>
    <w:rsid w:val="00A05B95"/>
    <w:rsid w:val="00B1199D"/>
    <w:rsid w:val="00B11AA8"/>
    <w:rsid w:val="00B133C7"/>
    <w:rsid w:val="00B14EB9"/>
    <w:rsid w:val="00B56EC4"/>
    <w:rsid w:val="00CB0F53"/>
    <w:rsid w:val="00CB66F3"/>
    <w:rsid w:val="00CC12A2"/>
    <w:rsid w:val="00CD2370"/>
    <w:rsid w:val="00D36D66"/>
    <w:rsid w:val="00E30D3F"/>
    <w:rsid w:val="00EE4CB9"/>
    <w:rsid w:val="00F619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04040"/>
  <w15:chartTrackingRefBased/>
  <w15:docId w15:val="{2D82AEBD-E6DB-4ACC-B9C6-177BC6AF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94C5B"/>
    <w:pPr>
      <w:spacing w:after="0" w:line="240" w:lineRule="auto"/>
    </w:pPr>
  </w:style>
  <w:style w:type="paragraph" w:styleId="Paragraphedeliste">
    <w:name w:val="List Paragraph"/>
    <w:basedOn w:val="Normal"/>
    <w:uiPriority w:val="34"/>
    <w:qFormat/>
    <w:rsid w:val="00594C5B"/>
    <w:pPr>
      <w:spacing w:after="0" w:line="240" w:lineRule="auto"/>
      <w:ind w:left="720"/>
      <w:contextualSpacing/>
    </w:pPr>
    <w:rPr>
      <w:rFonts w:ascii="Times New Roman" w:eastAsia="Times New Roman" w:hAnsi="Times New Roman" w:cs="Times New Roman"/>
      <w:sz w:val="24"/>
      <w:szCs w:val="24"/>
      <w:lang w:eastAsia="fr-FR"/>
    </w:rPr>
  </w:style>
  <w:style w:type="paragraph" w:styleId="Citationintense">
    <w:name w:val="Intense Quote"/>
    <w:basedOn w:val="Normal"/>
    <w:next w:val="Normal"/>
    <w:link w:val="CitationintenseCar"/>
    <w:uiPriority w:val="30"/>
    <w:qFormat/>
    <w:rsid w:val="003E1F4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3E1F45"/>
    <w:rPr>
      <w:i/>
      <w:iCs/>
      <w:color w:val="5B9BD5" w:themeColor="accent1"/>
    </w:rPr>
  </w:style>
  <w:style w:type="paragraph" w:styleId="En-tte">
    <w:name w:val="header"/>
    <w:basedOn w:val="Normal"/>
    <w:link w:val="En-tteCar"/>
    <w:uiPriority w:val="99"/>
    <w:unhideWhenUsed/>
    <w:rsid w:val="00E30D3F"/>
    <w:pPr>
      <w:tabs>
        <w:tab w:val="center" w:pos="4536"/>
        <w:tab w:val="right" w:pos="9072"/>
      </w:tabs>
      <w:spacing w:after="0" w:line="240" w:lineRule="auto"/>
    </w:pPr>
  </w:style>
  <w:style w:type="character" w:customStyle="1" w:styleId="En-tteCar">
    <w:name w:val="En-tête Car"/>
    <w:basedOn w:val="Policepardfaut"/>
    <w:link w:val="En-tte"/>
    <w:uiPriority w:val="99"/>
    <w:rsid w:val="00E30D3F"/>
  </w:style>
  <w:style w:type="paragraph" w:styleId="Pieddepage">
    <w:name w:val="footer"/>
    <w:basedOn w:val="Normal"/>
    <w:link w:val="PieddepageCar"/>
    <w:uiPriority w:val="99"/>
    <w:unhideWhenUsed/>
    <w:rsid w:val="00E30D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0D3F"/>
  </w:style>
  <w:style w:type="character" w:styleId="lev">
    <w:name w:val="Strong"/>
    <w:basedOn w:val="Policepardfaut"/>
    <w:uiPriority w:val="22"/>
    <w:qFormat/>
    <w:rsid w:val="00997F6B"/>
    <w:rPr>
      <w:b/>
      <w:bCs/>
    </w:rPr>
  </w:style>
  <w:style w:type="character" w:styleId="Lienhypertexte">
    <w:name w:val="Hyperlink"/>
    <w:basedOn w:val="Policepardfaut"/>
    <w:uiPriority w:val="99"/>
    <w:semiHidden/>
    <w:unhideWhenUsed/>
    <w:rsid w:val="0077558B"/>
    <w:rPr>
      <w:color w:val="0000FF"/>
      <w:u w:val="single"/>
    </w:rPr>
  </w:style>
  <w:style w:type="character" w:styleId="Marquedecommentaire">
    <w:name w:val="annotation reference"/>
    <w:basedOn w:val="Policepardfaut"/>
    <w:uiPriority w:val="99"/>
    <w:semiHidden/>
    <w:unhideWhenUsed/>
    <w:rsid w:val="009E674A"/>
    <w:rPr>
      <w:sz w:val="16"/>
      <w:szCs w:val="16"/>
    </w:rPr>
  </w:style>
  <w:style w:type="paragraph" w:styleId="Commentaire">
    <w:name w:val="annotation text"/>
    <w:basedOn w:val="Normal"/>
    <w:link w:val="CommentaireCar"/>
    <w:uiPriority w:val="99"/>
    <w:semiHidden/>
    <w:unhideWhenUsed/>
    <w:rsid w:val="009E674A"/>
    <w:pPr>
      <w:spacing w:line="240" w:lineRule="auto"/>
    </w:pPr>
    <w:rPr>
      <w:sz w:val="20"/>
      <w:szCs w:val="20"/>
    </w:rPr>
  </w:style>
  <w:style w:type="character" w:customStyle="1" w:styleId="CommentaireCar">
    <w:name w:val="Commentaire Car"/>
    <w:basedOn w:val="Policepardfaut"/>
    <w:link w:val="Commentaire"/>
    <w:uiPriority w:val="99"/>
    <w:semiHidden/>
    <w:rsid w:val="009E674A"/>
    <w:rPr>
      <w:sz w:val="20"/>
      <w:szCs w:val="20"/>
    </w:rPr>
  </w:style>
  <w:style w:type="paragraph" w:styleId="Objetducommentaire">
    <w:name w:val="annotation subject"/>
    <w:basedOn w:val="Commentaire"/>
    <w:next w:val="Commentaire"/>
    <w:link w:val="ObjetducommentaireCar"/>
    <w:uiPriority w:val="99"/>
    <w:semiHidden/>
    <w:unhideWhenUsed/>
    <w:rsid w:val="009E674A"/>
    <w:rPr>
      <w:b/>
      <w:bCs/>
    </w:rPr>
  </w:style>
  <w:style w:type="character" w:customStyle="1" w:styleId="ObjetducommentaireCar">
    <w:name w:val="Objet du commentaire Car"/>
    <w:basedOn w:val="CommentaireCar"/>
    <w:link w:val="Objetducommentaire"/>
    <w:uiPriority w:val="99"/>
    <w:semiHidden/>
    <w:rsid w:val="009E674A"/>
    <w:rPr>
      <w:b/>
      <w:bCs/>
      <w:sz w:val="20"/>
      <w:szCs w:val="20"/>
    </w:rPr>
  </w:style>
  <w:style w:type="paragraph" w:styleId="Textedebulles">
    <w:name w:val="Balloon Text"/>
    <w:basedOn w:val="Normal"/>
    <w:link w:val="TextedebullesCar"/>
    <w:uiPriority w:val="99"/>
    <w:semiHidden/>
    <w:unhideWhenUsed/>
    <w:rsid w:val="009E67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6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687</Words>
  <Characters>3782</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GRATTEPANCHE, Baptiste (ARS-IDF)</dc:creator>
  <cp:keywords/>
  <dc:description/>
  <cp:lastModifiedBy>DE SAUNIERE, Anne (ARS-IDF)</cp:lastModifiedBy>
  <cp:revision>2</cp:revision>
  <dcterms:created xsi:type="dcterms:W3CDTF">2024-07-11T08:42:00Z</dcterms:created>
  <dcterms:modified xsi:type="dcterms:W3CDTF">2024-07-11T08:42:00Z</dcterms:modified>
</cp:coreProperties>
</file>