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E0DD5" w14:textId="5F33691D" w:rsidR="00DC750D" w:rsidRDefault="00DC750D" w:rsidP="00B77AB4">
      <w:pPr>
        <w:jc w:val="both"/>
        <w:rPr>
          <w:sz w:val="16"/>
          <w:szCs w:val="16"/>
        </w:rPr>
      </w:pPr>
    </w:p>
    <w:p w14:paraId="52546144" w14:textId="1D95D888" w:rsidR="00FB4E0F" w:rsidRDefault="00FB4E0F" w:rsidP="00B77AB4">
      <w:pPr>
        <w:jc w:val="both"/>
        <w:rPr>
          <w:sz w:val="16"/>
          <w:szCs w:val="16"/>
        </w:rPr>
      </w:pPr>
    </w:p>
    <w:p w14:paraId="18A0A503" w14:textId="45B641D9" w:rsidR="00FB4E0F" w:rsidRDefault="00FB4E0F" w:rsidP="00B77AB4">
      <w:pPr>
        <w:jc w:val="both"/>
        <w:rPr>
          <w:sz w:val="16"/>
          <w:szCs w:val="16"/>
        </w:rPr>
      </w:pPr>
    </w:p>
    <w:p w14:paraId="7C08EFD4" w14:textId="449341C8" w:rsidR="00FB4E0F" w:rsidRDefault="00FB4E0F" w:rsidP="00B77AB4">
      <w:pPr>
        <w:jc w:val="both"/>
        <w:rPr>
          <w:sz w:val="16"/>
          <w:szCs w:val="16"/>
        </w:rPr>
      </w:pPr>
    </w:p>
    <w:p w14:paraId="604F7DBB" w14:textId="1FFF19CE" w:rsidR="00FB4E0F" w:rsidRDefault="00FB4E0F" w:rsidP="00B77AB4">
      <w:pPr>
        <w:jc w:val="both"/>
        <w:rPr>
          <w:sz w:val="16"/>
          <w:szCs w:val="16"/>
        </w:rPr>
      </w:pPr>
    </w:p>
    <w:p w14:paraId="188DB8FF" w14:textId="77777777" w:rsidR="00FB4E0F" w:rsidRPr="00A822BF" w:rsidRDefault="00FB4E0F" w:rsidP="00B77AB4">
      <w:pPr>
        <w:jc w:val="both"/>
        <w:rPr>
          <w:sz w:val="16"/>
          <w:szCs w:val="16"/>
        </w:rPr>
      </w:pPr>
    </w:p>
    <w:p w14:paraId="589811BA" w14:textId="77777777" w:rsidR="00673C00" w:rsidRPr="00A822BF" w:rsidRDefault="00673C00" w:rsidP="00673C00">
      <w:pPr>
        <w:jc w:val="center"/>
        <w:rPr>
          <w:sz w:val="16"/>
          <w:szCs w:val="16"/>
        </w:rPr>
      </w:pPr>
    </w:p>
    <w:tbl>
      <w:tblPr>
        <w:tblStyle w:val="Grilledutableau1"/>
        <w:tblW w:w="0" w:type="auto"/>
        <w:tblInd w:w="392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8670"/>
      </w:tblGrid>
      <w:tr w:rsidR="00C21919" w:rsidRPr="00F71830" w14:paraId="36040DC1" w14:textId="77777777" w:rsidTr="00E75562">
        <w:tc>
          <w:tcPr>
            <w:tcW w:w="9355" w:type="dxa"/>
            <w:shd w:val="clear" w:color="auto" w:fill="B6DDE8" w:themeFill="accent5" w:themeFillTint="66"/>
          </w:tcPr>
          <w:p w14:paraId="20E04D2C" w14:textId="77777777" w:rsidR="00C21919" w:rsidRPr="00F71830" w:rsidRDefault="00C21919" w:rsidP="00E75562">
            <w:pPr>
              <w:jc w:val="center"/>
              <w:rPr>
                <w:sz w:val="16"/>
                <w:szCs w:val="16"/>
              </w:rPr>
            </w:pPr>
          </w:p>
          <w:p w14:paraId="0AFF1C45" w14:textId="77777777" w:rsidR="00C21919" w:rsidRDefault="00C21919" w:rsidP="00E75562">
            <w:pPr>
              <w:jc w:val="center"/>
              <w:rPr>
                <w:b/>
                <w:sz w:val="44"/>
                <w:szCs w:val="44"/>
              </w:rPr>
            </w:pPr>
            <w:r w:rsidRPr="00F71830">
              <w:rPr>
                <w:b/>
                <w:sz w:val="44"/>
                <w:szCs w:val="44"/>
              </w:rPr>
              <w:t xml:space="preserve">Postes </w:t>
            </w:r>
            <w:r>
              <w:rPr>
                <w:b/>
                <w:sz w:val="44"/>
                <w:szCs w:val="44"/>
              </w:rPr>
              <w:t>d’Assistants Universitaires de</w:t>
            </w:r>
          </w:p>
          <w:p w14:paraId="2D5190D9" w14:textId="42E11152" w:rsidR="00C21919" w:rsidRDefault="00C21919" w:rsidP="00E75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Médecine Générale </w:t>
            </w:r>
          </w:p>
          <w:p w14:paraId="4F624F5B" w14:textId="61CDD873" w:rsidR="00726047" w:rsidRPr="00F71830" w:rsidRDefault="00726047" w:rsidP="00E75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Vague 11</w:t>
            </w:r>
          </w:p>
          <w:p w14:paraId="6F2439DE" w14:textId="2BD46CA9" w:rsidR="00C21919" w:rsidRPr="00F71830" w:rsidRDefault="0071063A" w:rsidP="00E75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(2024-2026</w:t>
            </w:r>
            <w:r w:rsidR="00C21919" w:rsidRPr="00F71830">
              <w:rPr>
                <w:b/>
                <w:sz w:val="44"/>
                <w:szCs w:val="44"/>
              </w:rPr>
              <w:t>)</w:t>
            </w:r>
          </w:p>
          <w:p w14:paraId="5BCCDEE0" w14:textId="2BCFACB3" w:rsidR="00C21919" w:rsidRPr="00F71830" w:rsidRDefault="00C21919" w:rsidP="00E75562">
            <w:pPr>
              <w:jc w:val="center"/>
              <w:rPr>
                <w:sz w:val="36"/>
                <w:szCs w:val="44"/>
              </w:rPr>
            </w:pPr>
            <w:r>
              <w:rPr>
                <w:sz w:val="36"/>
                <w:szCs w:val="44"/>
              </w:rPr>
              <w:t>-</w:t>
            </w:r>
          </w:p>
          <w:p w14:paraId="5D8F207F" w14:textId="77777777" w:rsidR="00C21919" w:rsidRPr="00F71830" w:rsidRDefault="00C21919" w:rsidP="00E75562">
            <w:pPr>
              <w:jc w:val="center"/>
              <w:rPr>
                <w:sz w:val="40"/>
                <w:szCs w:val="44"/>
              </w:rPr>
            </w:pPr>
            <w:r w:rsidRPr="00F71830">
              <w:rPr>
                <w:sz w:val="40"/>
                <w:szCs w:val="44"/>
              </w:rPr>
              <w:t>Cahier des Charges</w:t>
            </w:r>
          </w:p>
          <w:p w14:paraId="56DEA245" w14:textId="77777777" w:rsidR="00C21919" w:rsidRPr="00F71830" w:rsidRDefault="00C21919" w:rsidP="00E7556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B860F1" w14:textId="7F23BB94" w:rsidR="00673C00" w:rsidRDefault="00673C00" w:rsidP="00B77AB4">
      <w:pPr>
        <w:jc w:val="both"/>
      </w:pPr>
    </w:p>
    <w:p w14:paraId="18E006F1" w14:textId="6A9F4B3D" w:rsidR="00FB4E0F" w:rsidRDefault="00FB4E0F">
      <w:r>
        <w:br w:type="page"/>
      </w:r>
    </w:p>
    <w:p w14:paraId="7C164576" w14:textId="77777777" w:rsidR="001C68F0" w:rsidRDefault="001C68F0" w:rsidP="00B77AB4">
      <w:pPr>
        <w:jc w:val="both"/>
      </w:pPr>
    </w:p>
    <w:p w14:paraId="4CA8F1F6" w14:textId="77777777" w:rsidR="001C68F0" w:rsidRDefault="001C68F0" w:rsidP="00B77AB4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63718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9DD9D4" w14:textId="4F4167C4" w:rsidR="0071063A" w:rsidRPr="00861BC9" w:rsidRDefault="0071063A">
          <w:pPr>
            <w:pStyle w:val="En-ttedetabledesmatires"/>
            <w:rPr>
              <w:rFonts w:asciiTheme="minorHAnsi" w:hAnsiTheme="minorHAnsi"/>
            </w:rPr>
          </w:pPr>
          <w:r w:rsidRPr="00861BC9">
            <w:rPr>
              <w:rFonts w:asciiTheme="minorHAnsi" w:hAnsiTheme="minorHAnsi"/>
            </w:rPr>
            <w:t>Table des matières</w:t>
          </w:r>
        </w:p>
        <w:p w14:paraId="56D40EB7" w14:textId="00149992" w:rsidR="001627E0" w:rsidRDefault="0071063A" w:rsidP="001627E0">
          <w:pPr>
            <w:pStyle w:val="TM1"/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695630" w:history="1">
            <w:r w:rsidR="001627E0" w:rsidRPr="00CE79DE">
              <w:rPr>
                <w:rStyle w:val="Lienhypertexte"/>
                <w:noProof/>
              </w:rPr>
              <w:t>I.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>Objet de l’appel à candidatures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_Toc157695630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3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2045798B" w14:textId="0F301DAD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1" w:history="1">
            <w:r w:rsidR="001627E0" w:rsidRPr="00CE79DE">
              <w:rPr>
                <w:rStyle w:val="Lienhypertexte"/>
                <w:noProof/>
              </w:rPr>
              <w:t>II.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>Objectifs du dispositif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_Toc157695631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3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24549507" w14:textId="3BD7F51C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2" w:history="1">
            <w:r w:rsidR="001627E0" w:rsidRPr="00CE79DE">
              <w:rPr>
                <w:rStyle w:val="Lienhypertexte"/>
                <w:noProof/>
              </w:rPr>
              <w:t>III.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>Modalit</w:t>
            </w:r>
            <w:r w:rsidR="007C0015">
              <w:rPr>
                <w:rStyle w:val="Lienhypertexte"/>
                <w:noProof/>
              </w:rPr>
              <w:t>é</w:t>
            </w:r>
            <w:r w:rsidR="001627E0" w:rsidRPr="00CE79DE">
              <w:rPr>
                <w:rStyle w:val="Lienhypertexte"/>
                <w:noProof/>
              </w:rPr>
              <w:t>s de prise en charge financi</w:t>
            </w:r>
            <w:r w:rsidR="007C0015">
              <w:rPr>
                <w:rStyle w:val="Lienhypertexte"/>
                <w:noProof/>
              </w:rPr>
              <w:t>è</w:t>
            </w:r>
            <w:r w:rsidR="001627E0" w:rsidRPr="00CE79DE">
              <w:rPr>
                <w:rStyle w:val="Lienhypertexte"/>
                <w:noProof/>
              </w:rPr>
              <w:t>re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_Toc157695632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4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5BE5E49D" w14:textId="6184D02E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3" w:history="1">
            <w:r w:rsidR="001627E0" w:rsidRPr="00CE79DE">
              <w:rPr>
                <w:rStyle w:val="Lienhypertexte"/>
                <w:noProof/>
              </w:rPr>
              <w:t>IV.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>Modalit</w:t>
            </w:r>
            <w:r w:rsidR="007C0015">
              <w:rPr>
                <w:rStyle w:val="Lienhypertexte"/>
                <w:noProof/>
              </w:rPr>
              <w:t>é</w:t>
            </w:r>
            <w:r w:rsidR="001627E0" w:rsidRPr="00CE79DE">
              <w:rPr>
                <w:rStyle w:val="Lienhypertexte"/>
                <w:noProof/>
              </w:rPr>
              <w:t>s d’instruction et crit</w:t>
            </w:r>
            <w:r w:rsidR="007C0015">
              <w:rPr>
                <w:rStyle w:val="Lienhypertexte"/>
                <w:noProof/>
              </w:rPr>
              <w:t>è</w:t>
            </w:r>
            <w:r w:rsidR="001627E0" w:rsidRPr="00CE79DE">
              <w:rPr>
                <w:rStyle w:val="Lienhypertexte"/>
                <w:noProof/>
              </w:rPr>
              <w:t>res de s</w:t>
            </w:r>
            <w:r w:rsidR="007C0015">
              <w:rPr>
                <w:rStyle w:val="Lienhypertexte"/>
                <w:noProof/>
              </w:rPr>
              <w:t>é</w:t>
            </w:r>
            <w:r w:rsidR="001627E0" w:rsidRPr="00CE79DE">
              <w:rPr>
                <w:rStyle w:val="Lienhypertexte"/>
                <w:noProof/>
              </w:rPr>
              <w:t>lection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_Toc157695633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6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1D804848" w14:textId="7F1DCBEC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4" w:history="1">
            <w:r w:rsidR="001627E0" w:rsidRPr="00CE79DE">
              <w:rPr>
                <w:rStyle w:val="Lienhypertexte"/>
                <w:noProof/>
              </w:rPr>
              <w:t>V.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>
              <w:rPr>
                <w:rStyle w:val="Lienhypertexte"/>
                <w:noProof/>
              </w:rPr>
              <w:t>Calendrier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_Toc157695634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7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5D61C58D" w14:textId="5A0BCAB1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5" w:history="1">
            <w:r w:rsidR="001627E0" w:rsidRPr="00CE79DE">
              <w:rPr>
                <w:rStyle w:val="Lienhypertexte"/>
                <w:noProof/>
              </w:rPr>
              <w:t>VI.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>Cas particulier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_Toc157695635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7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0AE4926F" w14:textId="3F335F2F" w:rsidR="001627E0" w:rsidRDefault="0033771D" w:rsidP="001627E0">
          <w:pPr>
            <w:pStyle w:val="TM1"/>
            <w:rPr>
              <w:rFonts w:eastAsiaTheme="minorEastAsia"/>
              <w:noProof/>
              <w:lang w:eastAsia="fr-FR"/>
            </w:rPr>
          </w:pPr>
          <w:hyperlink w:anchor="_Toc157695636" w:history="1">
            <w:r w:rsidR="001627E0" w:rsidRPr="00CE79DE">
              <w:rPr>
                <w:rStyle w:val="Lienhypertexte"/>
                <w:noProof/>
              </w:rPr>
              <w:t>VII.</w:t>
            </w:r>
            <w:r w:rsidR="001627E0">
              <w:rPr>
                <w:rFonts w:eastAsiaTheme="minorEastAsia"/>
                <w:noProof/>
                <w:lang w:eastAsia="fr-FR"/>
              </w:rPr>
              <w:tab/>
            </w:r>
            <w:r w:rsidR="001627E0" w:rsidRPr="00CE79DE">
              <w:rPr>
                <w:rStyle w:val="Lienhypertexte"/>
                <w:noProof/>
              </w:rPr>
              <w:t xml:space="preserve">Conctact </w:t>
            </w:r>
            <w:r w:rsidR="007C0015">
              <w:rPr>
                <w:rStyle w:val="Lienhypertexte"/>
                <w:noProof/>
              </w:rPr>
              <w:t>ARS</w:t>
            </w:r>
            <w:r w:rsidR="001627E0">
              <w:rPr>
                <w:noProof/>
                <w:webHidden/>
              </w:rPr>
              <w:tab/>
            </w:r>
            <w:r w:rsidR="001627E0">
              <w:rPr>
                <w:noProof/>
                <w:webHidden/>
              </w:rPr>
              <w:fldChar w:fldCharType="begin"/>
            </w:r>
            <w:r w:rsidR="001627E0">
              <w:rPr>
                <w:noProof/>
                <w:webHidden/>
              </w:rPr>
              <w:instrText xml:space="preserve"> PAGEREF _Toc157695636 \h </w:instrText>
            </w:r>
            <w:r w:rsidR="001627E0">
              <w:rPr>
                <w:noProof/>
                <w:webHidden/>
              </w:rPr>
            </w:r>
            <w:r w:rsidR="001627E0">
              <w:rPr>
                <w:noProof/>
                <w:webHidden/>
              </w:rPr>
              <w:fldChar w:fldCharType="separate"/>
            </w:r>
            <w:r w:rsidR="001627E0">
              <w:rPr>
                <w:noProof/>
                <w:webHidden/>
              </w:rPr>
              <w:t>8</w:t>
            </w:r>
            <w:r w:rsidR="001627E0">
              <w:rPr>
                <w:noProof/>
                <w:webHidden/>
              </w:rPr>
              <w:fldChar w:fldCharType="end"/>
            </w:r>
          </w:hyperlink>
        </w:p>
        <w:p w14:paraId="03BA6673" w14:textId="51EB9C32" w:rsidR="0071063A" w:rsidRDefault="0071063A">
          <w:r>
            <w:rPr>
              <w:b/>
              <w:bCs/>
            </w:rPr>
            <w:fldChar w:fldCharType="end"/>
          </w:r>
        </w:p>
      </w:sdtContent>
    </w:sdt>
    <w:p w14:paraId="36A803CD" w14:textId="285C58F3" w:rsidR="00861BC9" w:rsidRDefault="00861BC9">
      <w:r>
        <w:br w:type="page"/>
      </w:r>
    </w:p>
    <w:p w14:paraId="79CD1DB1" w14:textId="062F1774" w:rsidR="0071063A" w:rsidRDefault="0071063A" w:rsidP="00B77AB4">
      <w:pPr>
        <w:jc w:val="both"/>
      </w:pPr>
    </w:p>
    <w:p w14:paraId="22D48749" w14:textId="7D587F3C" w:rsidR="00477243" w:rsidRDefault="00477243" w:rsidP="00B77AB4">
      <w:pPr>
        <w:pStyle w:val="cdc1"/>
        <w:outlineLvl w:val="0"/>
      </w:pPr>
      <w:bookmarkStart w:id="0" w:name="_Toc157695630"/>
      <w:r>
        <w:t>Objet de l’appel à candidatures</w:t>
      </w:r>
      <w:bookmarkEnd w:id="0"/>
    </w:p>
    <w:p w14:paraId="5EE5A66B" w14:textId="3D81A032" w:rsidR="00477243" w:rsidRPr="00060358" w:rsidRDefault="00477243" w:rsidP="00B77AB4">
      <w:pPr>
        <w:jc w:val="both"/>
      </w:pPr>
      <w:r w:rsidRPr="00060358">
        <w:t>L’Agence Régionale de Santé d’</w:t>
      </w:r>
      <w:r w:rsidR="006D21D0">
        <w:rPr>
          <w:rFonts w:ascii="Arial" w:hAnsi="Arial" w:cs="Arial"/>
        </w:rPr>
        <w:t>Î</w:t>
      </w:r>
      <w:r w:rsidRPr="00060358">
        <w:t xml:space="preserve">le-de-France lance son </w:t>
      </w:r>
      <w:r w:rsidRPr="00060358">
        <w:rPr>
          <w:b/>
        </w:rPr>
        <w:t>11</w:t>
      </w:r>
      <w:r w:rsidRPr="00060358">
        <w:rPr>
          <w:b/>
          <w:vertAlign w:val="superscript"/>
        </w:rPr>
        <w:t>ième</w:t>
      </w:r>
      <w:r w:rsidRPr="00060358">
        <w:rPr>
          <w:b/>
        </w:rPr>
        <w:t xml:space="preserve"> appel à candidatures</w:t>
      </w:r>
      <w:r w:rsidRPr="00060358">
        <w:t xml:space="preserve"> pour la création de postes d’Assistants Universitaires de Médecine Générale (AUMG). </w:t>
      </w:r>
    </w:p>
    <w:p w14:paraId="52E2C56D" w14:textId="50051162" w:rsidR="002C1831" w:rsidRPr="00060358" w:rsidRDefault="00AC68AF" w:rsidP="00B77AB4">
      <w:pPr>
        <w:jc w:val="both"/>
      </w:pPr>
      <w:r w:rsidRPr="00060358">
        <w:t>Un A</w:t>
      </w:r>
      <w:r w:rsidR="00841FF7" w:rsidRPr="00060358">
        <w:t xml:space="preserve">ssistant </w:t>
      </w:r>
      <w:r w:rsidRPr="00060358">
        <w:t>U</w:t>
      </w:r>
      <w:r w:rsidR="00841FF7" w:rsidRPr="00060358">
        <w:t xml:space="preserve">niversitaire de </w:t>
      </w:r>
      <w:r w:rsidRPr="00060358">
        <w:t>M</w:t>
      </w:r>
      <w:r w:rsidR="00841FF7" w:rsidRPr="00060358">
        <w:t xml:space="preserve">édecine </w:t>
      </w:r>
      <w:r w:rsidRPr="00060358">
        <w:t>G</w:t>
      </w:r>
      <w:r w:rsidR="00841FF7" w:rsidRPr="00060358">
        <w:t xml:space="preserve">énérale </w:t>
      </w:r>
      <w:r w:rsidR="002C1831" w:rsidRPr="00060358">
        <w:t>exerce</w:t>
      </w:r>
      <w:r w:rsidR="006F085C" w:rsidRPr="00060358">
        <w:t xml:space="preserve"> à la fois </w:t>
      </w:r>
      <w:r w:rsidR="002C1831" w:rsidRPr="00060358">
        <w:t>dans</w:t>
      </w:r>
      <w:r w:rsidR="006F085C" w:rsidRPr="00060358">
        <w:t xml:space="preserve"> </w:t>
      </w:r>
      <w:r w:rsidRPr="00060358">
        <w:t>une structure de soin</w:t>
      </w:r>
      <w:r w:rsidR="006A15CA" w:rsidRPr="00060358">
        <w:t>s</w:t>
      </w:r>
      <w:r w:rsidR="004A0114" w:rsidRPr="00060358">
        <w:t xml:space="preserve"> de ville</w:t>
      </w:r>
      <w:r w:rsidRPr="00060358">
        <w:t xml:space="preserve"> partenaire du</w:t>
      </w:r>
      <w:r w:rsidR="002517C4" w:rsidRPr="00060358">
        <w:t xml:space="preserve"> projet (centre de santé, maison</w:t>
      </w:r>
      <w:r w:rsidRPr="00060358">
        <w:t xml:space="preserve"> de santé</w:t>
      </w:r>
      <w:r w:rsidR="00B26825" w:rsidRPr="00060358">
        <w:t xml:space="preserve">, cabinet </w:t>
      </w:r>
      <w:r w:rsidR="006D21D0">
        <w:t>individuel et de groupe</w:t>
      </w:r>
      <w:r w:rsidR="007C0015">
        <w:t>, autre structure de ville</w:t>
      </w:r>
      <w:r w:rsidRPr="00060358">
        <w:t>)</w:t>
      </w:r>
      <w:r w:rsidR="008E1EAA" w:rsidRPr="00060358">
        <w:t xml:space="preserve"> </w:t>
      </w:r>
      <w:r w:rsidR="006F085C" w:rsidRPr="00060358">
        <w:t xml:space="preserve">et </w:t>
      </w:r>
      <w:r w:rsidR="002C1831" w:rsidRPr="00060358">
        <w:t xml:space="preserve">dans le </w:t>
      </w:r>
      <w:r w:rsidR="005A0BC7" w:rsidRPr="00060358">
        <w:t>Département de Médecine Générale de l’U</w:t>
      </w:r>
      <w:r w:rsidR="006F085C" w:rsidRPr="00060358">
        <w:t xml:space="preserve">niversité, </w:t>
      </w:r>
      <w:r w:rsidR="008E1EAA" w:rsidRPr="00060358">
        <w:t>pour une durée de 2 ans</w:t>
      </w:r>
      <w:r w:rsidRPr="00060358">
        <w:t>.</w:t>
      </w:r>
      <w:r w:rsidR="005A72B3" w:rsidRPr="00060358">
        <w:t xml:space="preserve"> </w:t>
      </w:r>
    </w:p>
    <w:p w14:paraId="73740B29" w14:textId="1810AD69" w:rsidR="006F085C" w:rsidRPr="00060358" w:rsidRDefault="002C1831" w:rsidP="00B77AB4">
      <w:pPr>
        <w:jc w:val="both"/>
      </w:pPr>
      <w:r w:rsidRPr="00060358">
        <w:t>L</w:t>
      </w:r>
      <w:r w:rsidR="006F085C" w:rsidRPr="00060358">
        <w:t xml:space="preserve">es activités </w:t>
      </w:r>
      <w:r w:rsidRPr="00060358">
        <w:t>de l’A</w:t>
      </w:r>
      <w:r w:rsidR="00841FF7" w:rsidRPr="00060358">
        <w:t xml:space="preserve">ssistant </w:t>
      </w:r>
      <w:r w:rsidRPr="00060358">
        <w:t>U</w:t>
      </w:r>
      <w:r w:rsidR="00841FF7" w:rsidRPr="00060358">
        <w:t xml:space="preserve">niversitaire de </w:t>
      </w:r>
      <w:r w:rsidRPr="00060358">
        <w:t>M</w:t>
      </w:r>
      <w:r w:rsidR="00841FF7" w:rsidRPr="00060358">
        <w:t xml:space="preserve">édecine </w:t>
      </w:r>
      <w:r w:rsidRPr="00060358">
        <w:t>G</w:t>
      </w:r>
      <w:r w:rsidR="00841FF7" w:rsidRPr="00060358">
        <w:t>énérale</w:t>
      </w:r>
      <w:r w:rsidRPr="00060358">
        <w:t xml:space="preserve"> </w:t>
      </w:r>
      <w:r w:rsidR="006F085C" w:rsidRPr="00060358">
        <w:t>sont :</w:t>
      </w:r>
    </w:p>
    <w:p w14:paraId="00247D42" w14:textId="61996E7E" w:rsidR="00770BA2" w:rsidRPr="00060358" w:rsidRDefault="005A72B3" w:rsidP="00770BA2">
      <w:pPr>
        <w:pStyle w:val="Paragraphedeliste"/>
        <w:numPr>
          <w:ilvl w:val="0"/>
          <w:numId w:val="23"/>
        </w:numPr>
        <w:jc w:val="both"/>
      </w:pPr>
      <w:r w:rsidRPr="00060358">
        <w:rPr>
          <w:u w:val="single"/>
        </w:rPr>
        <w:t>Au sein de la structure de soins</w:t>
      </w:r>
      <w:r w:rsidR="006D21D0">
        <w:rPr>
          <w:u w:val="single"/>
        </w:rPr>
        <w:t xml:space="preserve"> de ville</w:t>
      </w:r>
      <w:r w:rsidRPr="00060358">
        <w:t xml:space="preserve"> : </w:t>
      </w:r>
    </w:p>
    <w:p w14:paraId="37AE023B" w14:textId="77777777" w:rsidR="00770BA2" w:rsidRPr="00060358" w:rsidRDefault="004567C7" w:rsidP="00770BA2">
      <w:pPr>
        <w:pStyle w:val="Paragraphedeliste"/>
        <w:numPr>
          <w:ilvl w:val="0"/>
          <w:numId w:val="24"/>
        </w:numPr>
        <w:jc w:val="both"/>
      </w:pPr>
      <w:r w:rsidRPr="00060358">
        <w:t xml:space="preserve">Des activités de soins (curatifs et préventifs) en lien avec les acteurs sanitaires et sociaux du territoire. </w:t>
      </w:r>
    </w:p>
    <w:p w14:paraId="6020B0D2" w14:textId="388093AC" w:rsidR="004567C7" w:rsidRPr="00060358" w:rsidRDefault="004567C7" w:rsidP="00770BA2">
      <w:pPr>
        <w:pStyle w:val="Paragraphedeliste"/>
        <w:numPr>
          <w:ilvl w:val="0"/>
          <w:numId w:val="24"/>
        </w:numPr>
        <w:jc w:val="both"/>
      </w:pPr>
      <w:r w:rsidRPr="00060358">
        <w:t>Encadrement d’internes et/ou d’externes</w:t>
      </w:r>
    </w:p>
    <w:p w14:paraId="612C608C" w14:textId="46937E75" w:rsidR="00F93BE9" w:rsidRPr="00060358" w:rsidRDefault="00F93BE9" w:rsidP="00770BA2">
      <w:pPr>
        <w:pStyle w:val="Paragraphedeliste"/>
        <w:numPr>
          <w:ilvl w:val="0"/>
          <w:numId w:val="23"/>
        </w:numPr>
        <w:jc w:val="both"/>
      </w:pPr>
      <w:r w:rsidRPr="00060358">
        <w:rPr>
          <w:u w:val="single"/>
        </w:rPr>
        <w:t>Au sein de l’Université</w:t>
      </w:r>
      <w:r w:rsidRPr="00060358">
        <w:t xml:space="preserve"> : </w:t>
      </w:r>
    </w:p>
    <w:p w14:paraId="3E6F706C" w14:textId="77777777" w:rsidR="00770BA2" w:rsidRPr="00060358" w:rsidRDefault="00F93BE9" w:rsidP="00770BA2">
      <w:pPr>
        <w:pStyle w:val="Paragraphedeliste"/>
        <w:numPr>
          <w:ilvl w:val="0"/>
          <w:numId w:val="25"/>
        </w:numPr>
        <w:jc w:val="both"/>
      </w:pPr>
      <w:r w:rsidRPr="00060358">
        <w:t>Des activités de recherche</w:t>
      </w:r>
    </w:p>
    <w:p w14:paraId="7A071FC8" w14:textId="395D51FF" w:rsidR="00770BA2" w:rsidRPr="00060358" w:rsidRDefault="00F93BE9" w:rsidP="00770BA2">
      <w:pPr>
        <w:pStyle w:val="Paragraphedeliste"/>
        <w:numPr>
          <w:ilvl w:val="0"/>
          <w:numId w:val="25"/>
        </w:numPr>
        <w:jc w:val="both"/>
      </w:pPr>
      <w:r w:rsidRPr="00060358">
        <w:t>Des activités pédagogique</w:t>
      </w:r>
      <w:r w:rsidR="00BA5804" w:rsidRPr="00060358">
        <w:t>s</w:t>
      </w:r>
      <w:r w:rsidRPr="00060358">
        <w:t xml:space="preserve"> (enseignement, participation à la formation des </w:t>
      </w:r>
      <w:r w:rsidR="007834BC" w:rsidRPr="00060358">
        <w:t>i</w:t>
      </w:r>
      <w:r w:rsidR="00766365" w:rsidRPr="00060358">
        <w:t>nternes/</w:t>
      </w:r>
      <w:r w:rsidR="00770BA2" w:rsidRPr="00060358">
        <w:t>externes…)</w:t>
      </w:r>
    </w:p>
    <w:p w14:paraId="7F0AF00B" w14:textId="25B8B8F8" w:rsidR="009A2A01" w:rsidRPr="00060358" w:rsidRDefault="009A2A01" w:rsidP="00060358">
      <w:pPr>
        <w:jc w:val="both"/>
      </w:pPr>
      <w:r w:rsidRPr="00060358">
        <w:t xml:space="preserve">La partie soins, la partie universitaire et la partie recherche doivent être clairement définies dans le projet co-construit entre les partenaires. </w:t>
      </w:r>
    </w:p>
    <w:p w14:paraId="5DE38898" w14:textId="61D115BF" w:rsidR="00060358" w:rsidRDefault="009A2A01" w:rsidP="009A2A01">
      <w:pPr>
        <w:jc w:val="both"/>
      </w:pPr>
      <w:r w:rsidRPr="00060358">
        <w:t xml:space="preserve">Les AUMG doivent être recrutés pour une période de 2 </w:t>
      </w:r>
      <w:r w:rsidR="00770BA2" w:rsidRPr="00060358">
        <w:t xml:space="preserve">ans continus et consécutifs du </w:t>
      </w:r>
      <w:r w:rsidRPr="00060358">
        <w:t>1</w:t>
      </w:r>
      <w:r w:rsidR="00770BA2" w:rsidRPr="00060358">
        <w:rPr>
          <w:vertAlign w:val="superscript"/>
        </w:rPr>
        <w:t>er</w:t>
      </w:r>
      <w:r w:rsidR="00770BA2" w:rsidRPr="00060358">
        <w:t xml:space="preserve"> </w:t>
      </w:r>
      <w:r w:rsidRPr="00060358">
        <w:t>Novembre 2024 au 31 Octobre 2026.</w:t>
      </w:r>
      <w:r w:rsidR="00060358" w:rsidRPr="00060358">
        <w:t xml:space="preserve"> </w:t>
      </w:r>
      <w:r w:rsidR="00060358" w:rsidRPr="00807627">
        <w:t xml:space="preserve">Les </w:t>
      </w:r>
      <w:r w:rsidR="00F4307D">
        <w:t xml:space="preserve">AUMG </w:t>
      </w:r>
      <w:r w:rsidR="00060358" w:rsidRPr="00807627">
        <w:t>sont nommés pour 2 ans avec possibilité de 2 renouvellements d’une année chacun.</w:t>
      </w:r>
    </w:p>
    <w:p w14:paraId="26B3F12A" w14:textId="73B13DC3" w:rsidR="009A2A01" w:rsidRPr="00060358" w:rsidRDefault="009A2A01" w:rsidP="009A2A01">
      <w:pPr>
        <w:jc w:val="both"/>
      </w:pPr>
      <w:r w:rsidRPr="00060358">
        <w:t>Le candidat doit être obligatoirement inscrit à l’ordre au</w:t>
      </w:r>
      <w:r w:rsidR="006D21D0">
        <w:t xml:space="preserve"> plus tard en date du</w:t>
      </w:r>
      <w:r w:rsidRPr="00060358">
        <w:t xml:space="preserve"> 1er Novembre 2024.  </w:t>
      </w:r>
    </w:p>
    <w:p w14:paraId="17EE80A5" w14:textId="77777777" w:rsidR="008E1EAA" w:rsidRDefault="008E1EAA" w:rsidP="00861BC9">
      <w:pPr>
        <w:pStyle w:val="cdc1"/>
        <w:outlineLvl w:val="0"/>
      </w:pPr>
      <w:bookmarkStart w:id="1" w:name="_Toc157695631"/>
      <w:r w:rsidRPr="008E1EAA">
        <w:t>Objectifs du dispositif</w:t>
      </w:r>
      <w:bookmarkEnd w:id="1"/>
    </w:p>
    <w:p w14:paraId="39993D59" w14:textId="070F3EC6" w:rsidR="00770BA2" w:rsidRPr="00060358" w:rsidRDefault="00E23B4D" w:rsidP="00B77AB4">
      <w:pPr>
        <w:pStyle w:val="Paragraphedeliste"/>
        <w:numPr>
          <w:ilvl w:val="0"/>
          <w:numId w:val="23"/>
        </w:numPr>
        <w:jc w:val="both"/>
      </w:pPr>
      <w:r w:rsidRPr="00060358">
        <w:t>S</w:t>
      </w:r>
      <w:r w:rsidR="00F52F05" w:rsidRPr="00060358">
        <w:t xml:space="preserve">outenir la médecine </w:t>
      </w:r>
      <w:r w:rsidR="00B74AEE" w:rsidRPr="00060358">
        <w:t xml:space="preserve">de premier recours notamment dans des territoires </w:t>
      </w:r>
      <w:r w:rsidR="00F644CF" w:rsidRPr="00060358">
        <w:t>dits en tension s</w:t>
      </w:r>
      <w:r w:rsidR="00770BA2" w:rsidRPr="00060358">
        <w:t>elon l’arrêté du zonage médecin</w:t>
      </w:r>
      <w:r w:rsidR="006D21D0">
        <w:t>s arrêté en 2022</w:t>
      </w:r>
      <w:r w:rsidR="00770BA2" w:rsidRPr="00060358">
        <w:t> </w:t>
      </w:r>
    </w:p>
    <w:p w14:paraId="5467716D" w14:textId="6EE7E64D" w:rsidR="00554E75" w:rsidRPr="00060358" w:rsidRDefault="00554E75" w:rsidP="00060358">
      <w:pPr>
        <w:pStyle w:val="Paragraphedeliste"/>
        <w:numPr>
          <w:ilvl w:val="0"/>
          <w:numId w:val="23"/>
        </w:numPr>
        <w:jc w:val="both"/>
      </w:pPr>
      <w:r w:rsidRPr="00060358">
        <w:t>Soutenir des projets professionnels cliniques/universitaires en permettant à de jeunes médecins de parfaire leur formation post-internat </w:t>
      </w:r>
    </w:p>
    <w:p w14:paraId="7D2A1C22" w14:textId="517B16E7" w:rsidR="00770BA2" w:rsidRPr="00060358" w:rsidRDefault="00E23B4D" w:rsidP="00B77AB4">
      <w:pPr>
        <w:pStyle w:val="Paragraphedeliste"/>
        <w:numPr>
          <w:ilvl w:val="0"/>
          <w:numId w:val="23"/>
        </w:numPr>
        <w:jc w:val="both"/>
      </w:pPr>
      <w:r w:rsidRPr="00060358">
        <w:t>Renforcer la filière Universitaire de Médecine Générale en soutenant les moyens dévolus aux Départements de Médecine Générale des Universités</w:t>
      </w:r>
      <w:r w:rsidR="00770BA2" w:rsidRPr="00060358">
        <w:t> </w:t>
      </w:r>
    </w:p>
    <w:p w14:paraId="44F2CF02" w14:textId="7A2A6A5D" w:rsidR="00FB4E0F" w:rsidRDefault="00554E75" w:rsidP="00060358">
      <w:pPr>
        <w:pStyle w:val="Paragraphedeliste"/>
        <w:numPr>
          <w:ilvl w:val="0"/>
          <w:numId w:val="23"/>
        </w:numPr>
        <w:jc w:val="both"/>
      </w:pPr>
      <w:r w:rsidRPr="00060358">
        <w:t xml:space="preserve">Participer à l’encadrement d’internes et/ou d’externes   </w:t>
      </w:r>
    </w:p>
    <w:p w14:paraId="48C7C9DB" w14:textId="1D30DA9E" w:rsidR="00060358" w:rsidRDefault="00060358" w:rsidP="00060358">
      <w:pPr>
        <w:jc w:val="both"/>
      </w:pPr>
    </w:p>
    <w:p w14:paraId="763F9E43" w14:textId="77777777" w:rsidR="00060358" w:rsidRPr="00060358" w:rsidRDefault="00060358" w:rsidP="00060358">
      <w:pPr>
        <w:jc w:val="both"/>
      </w:pPr>
    </w:p>
    <w:p w14:paraId="4D19DC01" w14:textId="483F78CE" w:rsidR="009A2A01" w:rsidRDefault="009A2A01" w:rsidP="00F4307D">
      <w:pPr>
        <w:pStyle w:val="cdc1"/>
      </w:pPr>
      <w:bookmarkStart w:id="2" w:name="_Toc157695632"/>
      <w:r>
        <w:lastRenderedPageBreak/>
        <w:t>Modalit</w:t>
      </w:r>
      <w:r w:rsidR="006D21D0">
        <w:t>É</w:t>
      </w:r>
      <w:r>
        <w:t>s de prise en charge financire</w:t>
      </w:r>
      <w:bookmarkEnd w:id="2"/>
    </w:p>
    <w:p w14:paraId="03119B0A" w14:textId="7194F4BD" w:rsidR="008303F7" w:rsidRPr="00060358" w:rsidRDefault="008303F7" w:rsidP="00060358">
      <w:pPr>
        <w:pStyle w:val="Paragraphedeliste"/>
        <w:numPr>
          <w:ilvl w:val="0"/>
          <w:numId w:val="30"/>
        </w:numPr>
        <w:jc w:val="both"/>
        <w:rPr>
          <w:u w:val="single"/>
        </w:rPr>
      </w:pPr>
      <w:r w:rsidRPr="00060358">
        <w:rPr>
          <w:u w:val="single"/>
        </w:rPr>
        <w:t>Modalités administratives</w:t>
      </w:r>
    </w:p>
    <w:p w14:paraId="7A7DF30A" w14:textId="77777777" w:rsidR="00060358" w:rsidRPr="00060358" w:rsidRDefault="00060358" w:rsidP="00060358">
      <w:pPr>
        <w:pStyle w:val="Paragraphedeliste"/>
        <w:jc w:val="both"/>
        <w:rPr>
          <w:sz w:val="24"/>
          <w:u w:val="single"/>
        </w:rPr>
      </w:pPr>
    </w:p>
    <w:p w14:paraId="74741E1F" w14:textId="3D06F2D7" w:rsidR="00CF13D5" w:rsidRPr="00060358" w:rsidRDefault="00CF13D5" w:rsidP="00060358">
      <w:pPr>
        <w:pStyle w:val="Paragraphedeliste"/>
        <w:numPr>
          <w:ilvl w:val="0"/>
          <w:numId w:val="23"/>
        </w:numPr>
      </w:pPr>
      <w:r w:rsidRPr="00060358">
        <w:t>Signature d’une convention entre l’université bénéficiaire et l’ARS.</w:t>
      </w:r>
    </w:p>
    <w:p w14:paraId="3C7718EA" w14:textId="6DCBC961" w:rsidR="00060358" w:rsidRDefault="00CF13D5" w:rsidP="00060358">
      <w:pPr>
        <w:pStyle w:val="Paragraphedeliste"/>
        <w:numPr>
          <w:ilvl w:val="0"/>
          <w:numId w:val="23"/>
        </w:numPr>
      </w:pPr>
      <w:r w:rsidRPr="00060358">
        <w:t xml:space="preserve">Transmission par le bénéficiaire de bilan correspondant à deux évaluations qualitatives au </w:t>
      </w:r>
      <w:r w:rsidR="00060358" w:rsidRPr="00060358">
        <w:t>cours des deux années de contrat et de fonction pour le suivi du dispositif et des activités remplies par les Assistants Universitaire</w:t>
      </w:r>
      <w:r w:rsidR="00060358">
        <w:t>s de Médecine Générale recrutés.</w:t>
      </w:r>
    </w:p>
    <w:p w14:paraId="7D9D3246" w14:textId="193F9DD0" w:rsidR="00060358" w:rsidRPr="00060358" w:rsidRDefault="00060358" w:rsidP="00060358"/>
    <w:p w14:paraId="59B7AEB9" w14:textId="43A89B6E" w:rsidR="008303F7" w:rsidRPr="00060358" w:rsidRDefault="008303F7" w:rsidP="00060358">
      <w:pPr>
        <w:pStyle w:val="Paragraphedeliste"/>
        <w:numPr>
          <w:ilvl w:val="0"/>
          <w:numId w:val="30"/>
        </w:numPr>
        <w:jc w:val="both"/>
        <w:rPr>
          <w:u w:val="single"/>
        </w:rPr>
      </w:pPr>
      <w:r w:rsidRPr="00060358">
        <w:rPr>
          <w:u w:val="single"/>
        </w:rPr>
        <w:t>Modalités de prise en charge financière</w:t>
      </w:r>
    </w:p>
    <w:p w14:paraId="35D3B359" w14:textId="1326B5EC" w:rsidR="00CF13D5" w:rsidRPr="00173AD7" w:rsidRDefault="00060358" w:rsidP="00060358">
      <w:pPr>
        <w:jc w:val="both"/>
      </w:pPr>
      <w:r w:rsidRPr="00173AD7">
        <w:t>L’ARS prend en charge le financement de la partie universitaire, calculée à partir de la grille indiciaire du grade de chef de clinique.</w:t>
      </w:r>
    </w:p>
    <w:tbl>
      <w:tblPr>
        <w:tblStyle w:val="Grilledutableau2"/>
        <w:tblpPr w:leftFromText="141" w:rightFromText="141" w:vertAnchor="text" w:horzAnchor="margin" w:tblpY="-1594"/>
        <w:tblW w:w="8757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5572"/>
      </w:tblGrid>
      <w:tr w:rsidR="00CF13D5" w:rsidRPr="00060358" w14:paraId="0137DEF1" w14:textId="77777777" w:rsidTr="00060358">
        <w:trPr>
          <w:trHeight w:val="149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555D0" w14:textId="77777777" w:rsidR="00CF13D5" w:rsidRPr="00060358" w:rsidRDefault="00CF13D5" w:rsidP="00060358">
            <w:pPr>
              <w:spacing w:after="240"/>
              <w:jc w:val="both"/>
              <w:rPr>
                <w:rFonts w:ascii="Calibri" w:eastAsia="Calibri" w:hAnsi="Calibri" w:cs="Times New Roman"/>
                <w:sz w:val="20"/>
              </w:rPr>
            </w:pPr>
          </w:p>
          <w:p w14:paraId="0DEA0F9E" w14:textId="585FBF73" w:rsidR="00CF13D5" w:rsidRPr="00060358" w:rsidRDefault="006D21D0" w:rsidP="00060358">
            <w:pPr>
              <w:spacing w:after="240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É</w:t>
            </w:r>
            <w:r w:rsidR="00CF13D5" w:rsidRPr="00060358">
              <w:rPr>
                <w:rFonts w:ascii="Calibri" w:eastAsia="Calibri" w:hAnsi="Calibri" w:cs="Times New Roman"/>
                <w:sz w:val="20"/>
              </w:rPr>
              <w:t xml:space="preserve">moluments </w:t>
            </w:r>
          </w:p>
          <w:p w14:paraId="6765C809" w14:textId="77777777" w:rsidR="00CF13D5" w:rsidRPr="00060358" w:rsidRDefault="00CF13D5" w:rsidP="00060358">
            <w:pPr>
              <w:spacing w:after="240"/>
              <w:jc w:val="both"/>
              <w:rPr>
                <w:rFonts w:ascii="Calibri" w:eastAsia="Calibri" w:hAnsi="Calibri" w:cs="Times New Roman"/>
                <w:sz w:val="20"/>
                <w:u w:val="single"/>
              </w:rPr>
            </w:pPr>
          </w:p>
        </w:tc>
        <w:tc>
          <w:tcPr>
            <w:tcW w:w="5572" w:type="dxa"/>
            <w:tcBorders>
              <w:top w:val="single" w:sz="4" w:space="0" w:color="auto"/>
            </w:tcBorders>
            <w:vAlign w:val="center"/>
          </w:tcPr>
          <w:p w14:paraId="46B7DE7B" w14:textId="77777777" w:rsidR="00CF13D5" w:rsidRPr="00060358" w:rsidRDefault="00CF13D5" w:rsidP="00060358">
            <w:pPr>
              <w:spacing w:after="240"/>
              <w:jc w:val="both"/>
              <w:rPr>
                <w:rFonts w:ascii="Calibri" w:eastAsia="Calibri" w:hAnsi="Calibri" w:cs="Times New Roman"/>
                <w:sz w:val="20"/>
              </w:rPr>
            </w:pPr>
            <w:r w:rsidRPr="00060358">
              <w:rPr>
                <w:rFonts w:ascii="Calibri" w:eastAsia="Calibri" w:hAnsi="Calibri" w:cs="Times New Roman"/>
                <w:sz w:val="20"/>
              </w:rPr>
              <w:t>17508,16 € brut annuel</w:t>
            </w:r>
          </w:p>
          <w:p w14:paraId="16DEED07" w14:textId="77777777" w:rsidR="00CF13D5" w:rsidRPr="00060358" w:rsidRDefault="00CF13D5" w:rsidP="00060358">
            <w:pPr>
              <w:spacing w:after="240"/>
              <w:jc w:val="both"/>
              <w:rPr>
                <w:rFonts w:ascii="Calibri" w:eastAsia="Calibri" w:hAnsi="Calibri" w:cs="Times New Roman"/>
                <w:sz w:val="20"/>
              </w:rPr>
            </w:pPr>
            <w:r w:rsidRPr="00060358">
              <w:rPr>
                <w:rFonts w:ascii="Calibri" w:eastAsia="Calibri" w:hAnsi="Calibri" w:cs="Times New Roman"/>
                <w:sz w:val="20"/>
              </w:rPr>
              <w:t>1459 € brut mensuel</w:t>
            </w:r>
          </w:p>
        </w:tc>
      </w:tr>
      <w:tr w:rsidR="00CF13D5" w:rsidRPr="00060358" w14:paraId="1D7C2C2F" w14:textId="77777777" w:rsidTr="00060358">
        <w:trPr>
          <w:trHeight w:val="30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07C45" w14:textId="77777777" w:rsidR="00CF13D5" w:rsidRPr="00060358" w:rsidRDefault="00CF13D5" w:rsidP="00060358">
            <w:pPr>
              <w:spacing w:after="240"/>
              <w:rPr>
                <w:rFonts w:ascii="Calibri" w:eastAsia="Calibri" w:hAnsi="Calibri" w:cs="Times New Roman"/>
                <w:sz w:val="20"/>
              </w:rPr>
            </w:pPr>
            <w:r w:rsidRPr="00060358">
              <w:rPr>
                <w:rFonts w:ascii="Calibri" w:eastAsia="Calibri" w:hAnsi="Calibri" w:cs="Times New Roman"/>
                <w:sz w:val="20"/>
              </w:rPr>
              <w:t>Charges patronales</w:t>
            </w:r>
          </w:p>
        </w:tc>
        <w:tc>
          <w:tcPr>
            <w:tcW w:w="5572" w:type="dxa"/>
            <w:tcBorders>
              <w:top w:val="single" w:sz="4" w:space="0" w:color="auto"/>
            </w:tcBorders>
            <w:vAlign w:val="center"/>
          </w:tcPr>
          <w:p w14:paraId="115C502B" w14:textId="77777777" w:rsidR="00CF13D5" w:rsidRPr="00060358" w:rsidRDefault="00CF13D5" w:rsidP="00060358">
            <w:pPr>
              <w:spacing w:after="240"/>
              <w:jc w:val="both"/>
              <w:rPr>
                <w:rFonts w:ascii="Calibri" w:eastAsia="Calibri" w:hAnsi="Calibri" w:cs="Times New Roman"/>
                <w:bCs/>
                <w:sz w:val="20"/>
              </w:rPr>
            </w:pPr>
            <w:r w:rsidRPr="00060358">
              <w:rPr>
                <w:rFonts w:ascii="Calibri" w:eastAsia="Calibri" w:hAnsi="Calibri" w:cs="Times New Roman"/>
                <w:bCs/>
                <w:sz w:val="20"/>
              </w:rPr>
              <w:t>44%</w:t>
            </w:r>
          </w:p>
        </w:tc>
      </w:tr>
      <w:tr w:rsidR="00CF13D5" w:rsidRPr="00060358" w14:paraId="1EF49A33" w14:textId="77777777" w:rsidTr="00060358">
        <w:trPr>
          <w:trHeight w:val="754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  <w:vAlign w:val="center"/>
          </w:tcPr>
          <w:p w14:paraId="3FB7C125" w14:textId="77777777" w:rsidR="00CF13D5" w:rsidRPr="00060358" w:rsidRDefault="00CF13D5" w:rsidP="00060358">
            <w:pPr>
              <w:spacing w:after="240"/>
              <w:rPr>
                <w:rFonts w:ascii="Calibri" w:eastAsia="Calibri" w:hAnsi="Calibri" w:cs="Times New Roman"/>
                <w:b/>
                <w:sz w:val="20"/>
              </w:rPr>
            </w:pPr>
            <w:r w:rsidRPr="00060358">
              <w:rPr>
                <w:rFonts w:ascii="Calibri" w:eastAsia="Calibri" w:hAnsi="Calibri" w:cs="Times New Roman"/>
                <w:b/>
                <w:sz w:val="20"/>
              </w:rPr>
              <w:t xml:space="preserve">Prise en charge ARS sur rémunération mensuelle brute chargée </w:t>
            </w:r>
          </w:p>
          <w:p w14:paraId="07797985" w14:textId="77777777" w:rsidR="00CF13D5" w:rsidRPr="00060358" w:rsidRDefault="00CF13D5" w:rsidP="00060358">
            <w:pPr>
              <w:spacing w:after="240"/>
              <w:rPr>
                <w:rFonts w:ascii="Calibri" w:eastAsia="Calibri" w:hAnsi="Calibri" w:cs="Times New Roman"/>
                <w:b/>
                <w:sz w:val="20"/>
              </w:rPr>
            </w:pPr>
            <w:r w:rsidRPr="00060358">
              <w:rPr>
                <w:rFonts w:ascii="Calibri" w:eastAsia="Calibri" w:hAnsi="Calibri" w:cs="Times New Roman"/>
                <w:b/>
                <w:sz w:val="20"/>
              </w:rPr>
              <w:t>(hors SFT, forfait Navigo, mutuelle santé)</w:t>
            </w:r>
          </w:p>
        </w:tc>
        <w:tc>
          <w:tcPr>
            <w:tcW w:w="5572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5A3784F5" w14:textId="77777777" w:rsidR="00CF13D5" w:rsidRPr="00060358" w:rsidRDefault="00CF13D5" w:rsidP="00060358">
            <w:pPr>
              <w:spacing w:after="24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060358">
              <w:rPr>
                <w:rFonts w:ascii="Calibri" w:eastAsia="Calibri" w:hAnsi="Calibri" w:cs="Times New Roman"/>
                <w:b/>
                <w:sz w:val="20"/>
              </w:rPr>
              <w:t>2 100 €</w:t>
            </w:r>
          </w:p>
        </w:tc>
      </w:tr>
    </w:tbl>
    <w:p w14:paraId="3F5B12E5" w14:textId="144D314E" w:rsidR="00770BA2" w:rsidRPr="00060358" w:rsidRDefault="00603110" w:rsidP="00060358">
      <w:pPr>
        <w:jc w:val="both"/>
      </w:pPr>
      <w:r w:rsidRPr="00060358">
        <w:t>Le recrutement est pris en charge à hauteur de 100% de la part universitaire du poste, calculée sur la base de la rémunération d’un CCU-MG</w:t>
      </w:r>
      <w:r w:rsidRPr="00060358">
        <w:rPr>
          <w:rStyle w:val="Appelnotedebasdep"/>
        </w:rPr>
        <w:footnoteReference w:id="1"/>
      </w:r>
      <w:r w:rsidRPr="00060358">
        <w:t xml:space="preserve"> premier échelon. </w:t>
      </w:r>
    </w:p>
    <w:p w14:paraId="036A7106" w14:textId="5DC28138" w:rsidR="00770BA2" w:rsidRPr="00060358" w:rsidRDefault="00603110" w:rsidP="00770BA2">
      <w:pPr>
        <w:jc w:val="both"/>
      </w:pPr>
      <w:r w:rsidRPr="00060358">
        <w:t xml:space="preserve">Concrètement, l’ARS verse </w:t>
      </w:r>
      <w:r w:rsidR="00661A0E" w:rsidRPr="00060358">
        <w:rPr>
          <w:b/>
          <w:u w:val="single"/>
        </w:rPr>
        <w:t>21</w:t>
      </w:r>
      <w:r w:rsidRPr="00060358">
        <w:rPr>
          <w:b/>
          <w:u w:val="single"/>
        </w:rPr>
        <w:t xml:space="preserve">00 euros </w:t>
      </w:r>
      <w:r w:rsidR="00661A0E" w:rsidRPr="00060358">
        <w:rPr>
          <w:b/>
          <w:u w:val="single"/>
        </w:rPr>
        <w:t>par mois</w:t>
      </w:r>
      <w:r w:rsidR="00661A0E" w:rsidRPr="00060358">
        <w:rPr>
          <w:b/>
        </w:rPr>
        <w:t xml:space="preserve"> </w:t>
      </w:r>
      <w:r w:rsidRPr="00060358">
        <w:t>et par Assistant Universitaire de Médecine Générale, sous condition de production des pièces justificatives mentionnées dans la convention.</w:t>
      </w:r>
    </w:p>
    <w:p w14:paraId="46593EE6" w14:textId="1D197E4D" w:rsidR="001824FC" w:rsidRDefault="00060358" w:rsidP="001824FC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Il est rappelé que</w:t>
      </w:r>
      <w:r w:rsidR="001824FC" w:rsidRPr="00060358">
        <w:rPr>
          <w:rFonts w:cs="Calibri"/>
          <w:color w:val="000000"/>
        </w:rPr>
        <w:t xml:space="preserve"> l’ARS prend uniquement en charge</w:t>
      </w:r>
      <w:r w:rsidR="001824FC" w:rsidRPr="00060358">
        <w:t xml:space="preserve"> la </w:t>
      </w:r>
      <w:r w:rsidR="001824FC" w:rsidRPr="00060358">
        <w:rPr>
          <w:rFonts w:cs="Calibri"/>
          <w:color w:val="000000"/>
        </w:rPr>
        <w:t>rémunération mensuelle brute chargée, sont exclus les accessoires de salaires (</w:t>
      </w:r>
      <w:r w:rsidR="008303F7" w:rsidRPr="00060358">
        <w:rPr>
          <w:rFonts w:cs="Calibri"/>
          <w:color w:val="000000"/>
        </w:rPr>
        <w:t xml:space="preserve">notamment </w:t>
      </w:r>
      <w:r w:rsidR="001824FC" w:rsidRPr="00060358">
        <w:rPr>
          <w:rFonts w:cs="Calibri"/>
          <w:color w:val="000000"/>
        </w:rPr>
        <w:t>supplément familial de traitement, frais de transport, mutuelle santé).</w:t>
      </w:r>
    </w:p>
    <w:p w14:paraId="760F149B" w14:textId="29933D6E" w:rsidR="00060358" w:rsidRDefault="00060358" w:rsidP="001824FC">
      <w:pPr>
        <w:spacing w:after="0"/>
        <w:jc w:val="both"/>
        <w:rPr>
          <w:rFonts w:cs="Calibri"/>
          <w:color w:val="000000"/>
        </w:rPr>
      </w:pPr>
    </w:p>
    <w:p w14:paraId="10A8737D" w14:textId="63C5FEF2" w:rsidR="00060358" w:rsidRDefault="00060358" w:rsidP="001824FC">
      <w:pPr>
        <w:spacing w:after="0"/>
        <w:jc w:val="both"/>
        <w:rPr>
          <w:rFonts w:cs="Calibri"/>
          <w:color w:val="000000"/>
        </w:rPr>
      </w:pPr>
    </w:p>
    <w:p w14:paraId="3DD27729" w14:textId="349FB54B" w:rsidR="00060358" w:rsidRDefault="00060358" w:rsidP="001824FC">
      <w:pPr>
        <w:spacing w:after="0"/>
        <w:jc w:val="both"/>
        <w:rPr>
          <w:rFonts w:cs="Calibri"/>
          <w:color w:val="000000"/>
        </w:rPr>
      </w:pPr>
    </w:p>
    <w:p w14:paraId="6DFABDDC" w14:textId="045CD02C" w:rsidR="00060358" w:rsidRPr="00060358" w:rsidRDefault="00060358" w:rsidP="00060358">
      <w:pPr>
        <w:pStyle w:val="Paragraphedeliste"/>
        <w:numPr>
          <w:ilvl w:val="0"/>
          <w:numId w:val="30"/>
        </w:numPr>
        <w:spacing w:after="0"/>
        <w:jc w:val="both"/>
        <w:rPr>
          <w:rFonts w:cs="Calibri"/>
          <w:color w:val="000000"/>
          <w:u w:val="single"/>
        </w:rPr>
      </w:pPr>
      <w:r w:rsidRPr="00060358">
        <w:rPr>
          <w:rFonts w:cs="Calibri"/>
          <w:color w:val="000000"/>
          <w:u w:val="single"/>
        </w:rPr>
        <w:lastRenderedPageBreak/>
        <w:t>Modalités et conditions de versement de la prise en charge par l’ARS</w:t>
      </w:r>
    </w:p>
    <w:p w14:paraId="0F7CA508" w14:textId="77777777" w:rsidR="001824FC" w:rsidRPr="00060358" w:rsidRDefault="001824FC" w:rsidP="001824FC">
      <w:pPr>
        <w:spacing w:after="0"/>
        <w:jc w:val="both"/>
        <w:rPr>
          <w:rFonts w:cs="Calibri"/>
          <w:color w:val="000000"/>
          <w:sz w:val="20"/>
        </w:rPr>
      </w:pPr>
    </w:p>
    <w:p w14:paraId="08E8D79D" w14:textId="77777777" w:rsidR="00770BA2" w:rsidRPr="00060358" w:rsidRDefault="00661A0E" w:rsidP="00661A0E">
      <w:pPr>
        <w:spacing w:after="0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 xml:space="preserve">Le financement de l’ARS, dans le cadre du FIR ne pourra être versé que sur présentation des </w:t>
      </w:r>
      <w:r w:rsidR="001824FC" w:rsidRPr="00060358">
        <w:rPr>
          <w:rFonts w:cs="Calibri"/>
          <w:color w:val="000000"/>
        </w:rPr>
        <w:t>pièces justificatives par l’université</w:t>
      </w:r>
      <w:r w:rsidRPr="00060358">
        <w:rPr>
          <w:rFonts w:cs="Calibri"/>
          <w:color w:val="000000"/>
        </w:rPr>
        <w:t xml:space="preserve"> dans les délais imposés par l’ARS. </w:t>
      </w:r>
    </w:p>
    <w:p w14:paraId="224A3B2C" w14:textId="2E7BA26E" w:rsidR="001824FC" w:rsidRPr="00060358" w:rsidRDefault="00661A0E" w:rsidP="00661A0E">
      <w:pPr>
        <w:spacing w:after="0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>Le versement des crédits est</w:t>
      </w:r>
      <w:r w:rsidR="001824FC" w:rsidRPr="00060358">
        <w:rPr>
          <w:rFonts w:cs="Calibri"/>
          <w:color w:val="000000"/>
        </w:rPr>
        <w:t xml:space="preserve"> conditionné à la production de ces</w:t>
      </w:r>
      <w:r w:rsidRPr="00060358">
        <w:rPr>
          <w:rFonts w:cs="Calibri"/>
          <w:color w:val="000000"/>
        </w:rPr>
        <w:t xml:space="preserve"> pièces justificatives aux dates précisées ci-dessous. </w:t>
      </w:r>
    </w:p>
    <w:p w14:paraId="581312CD" w14:textId="77777777" w:rsidR="00770BA2" w:rsidRPr="00060358" w:rsidRDefault="00770BA2" w:rsidP="00661A0E">
      <w:pPr>
        <w:spacing w:after="0"/>
        <w:jc w:val="both"/>
        <w:rPr>
          <w:rFonts w:cs="Calibri"/>
          <w:color w:val="000000"/>
        </w:rPr>
      </w:pPr>
    </w:p>
    <w:p w14:paraId="2ADEE976" w14:textId="71CCA104" w:rsidR="00661A0E" w:rsidRPr="00060358" w:rsidRDefault="00661A0E" w:rsidP="00661A0E">
      <w:pPr>
        <w:spacing w:after="0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>Les justificatifs demandés sont :</w:t>
      </w:r>
    </w:p>
    <w:p w14:paraId="44AF1595" w14:textId="62044DF6" w:rsidR="00661A0E" w:rsidRPr="00060358" w:rsidRDefault="006D21D0" w:rsidP="00661A0E">
      <w:pPr>
        <w:numPr>
          <w:ilvl w:val="0"/>
          <w:numId w:val="12"/>
        </w:numPr>
        <w:spacing w:after="0"/>
        <w:jc w:val="both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À</w:t>
      </w:r>
      <w:r w:rsidR="00661A0E" w:rsidRPr="00060358">
        <w:rPr>
          <w:rFonts w:cs="Calibri"/>
          <w:color w:val="000000"/>
          <w:u w:val="single"/>
        </w:rPr>
        <w:t xml:space="preserve"> la prise de poste (au plus vite et dans tous les cas avant le 31 janvier 202</w:t>
      </w:r>
      <w:r w:rsidR="007C0015">
        <w:rPr>
          <w:rFonts w:cs="Calibri"/>
          <w:color w:val="000000"/>
          <w:u w:val="single"/>
        </w:rPr>
        <w:t>5</w:t>
      </w:r>
      <w:r w:rsidR="001824FC" w:rsidRPr="00060358">
        <w:rPr>
          <w:rFonts w:cs="Calibri"/>
          <w:color w:val="000000"/>
          <w:u w:val="single"/>
        </w:rPr>
        <w:t>)</w:t>
      </w:r>
      <w:r w:rsidR="00661A0E" w:rsidRPr="00060358">
        <w:rPr>
          <w:rFonts w:cs="Calibri"/>
          <w:color w:val="000000"/>
          <w:u w:val="single"/>
        </w:rPr>
        <w:t xml:space="preserve"> : </w:t>
      </w:r>
    </w:p>
    <w:p w14:paraId="0BDBBF93" w14:textId="295EE70A" w:rsidR="00661A0E" w:rsidRPr="00060358" w:rsidRDefault="00661A0E" w:rsidP="00661A0E">
      <w:pPr>
        <w:numPr>
          <w:ilvl w:val="1"/>
          <w:numId w:val="14"/>
        </w:numPr>
        <w:spacing w:after="0"/>
        <w:ind w:left="426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 xml:space="preserve">Attestation de prise de poste dans </w:t>
      </w:r>
      <w:r w:rsidR="004636D9" w:rsidRPr="00060358">
        <w:rPr>
          <w:rFonts w:cs="Calibri"/>
          <w:color w:val="000000"/>
        </w:rPr>
        <w:t xml:space="preserve">la structure partenaire de l’université </w:t>
      </w:r>
      <w:r w:rsidRPr="00060358">
        <w:rPr>
          <w:rFonts w:cs="Calibri"/>
          <w:color w:val="000000"/>
        </w:rPr>
        <w:t>ou premier</w:t>
      </w:r>
      <w:r w:rsidR="004636D9" w:rsidRPr="00060358">
        <w:rPr>
          <w:rFonts w:cs="Calibri"/>
          <w:color w:val="000000"/>
        </w:rPr>
        <w:t>s</w:t>
      </w:r>
      <w:r w:rsidRPr="00060358">
        <w:rPr>
          <w:rFonts w:cs="Calibri"/>
          <w:color w:val="000000"/>
        </w:rPr>
        <w:t xml:space="preserve"> bulletin</w:t>
      </w:r>
      <w:r w:rsidR="004636D9" w:rsidRPr="00060358">
        <w:rPr>
          <w:rFonts w:cs="Calibri"/>
          <w:color w:val="000000"/>
        </w:rPr>
        <w:t>s</w:t>
      </w:r>
      <w:r w:rsidRPr="00060358">
        <w:rPr>
          <w:rFonts w:cs="Calibri"/>
          <w:color w:val="000000"/>
        </w:rPr>
        <w:t xml:space="preserve"> de salaire</w:t>
      </w:r>
      <w:r w:rsidR="004636D9" w:rsidRPr="00060358">
        <w:rPr>
          <w:rFonts w:cs="Calibri"/>
          <w:color w:val="000000"/>
        </w:rPr>
        <w:t xml:space="preserve"> (novembre et décembre 2024)</w:t>
      </w:r>
    </w:p>
    <w:p w14:paraId="38D22680" w14:textId="2BF3B452" w:rsidR="004636D9" w:rsidRPr="00060358" w:rsidRDefault="004636D9" w:rsidP="00661A0E">
      <w:pPr>
        <w:numPr>
          <w:ilvl w:val="1"/>
          <w:numId w:val="14"/>
        </w:numPr>
        <w:spacing w:after="0"/>
        <w:ind w:left="426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>Contrat de recrutement en qualité d’AUMG</w:t>
      </w:r>
    </w:p>
    <w:p w14:paraId="2AB7B521" w14:textId="0C430394" w:rsidR="00661A0E" w:rsidRPr="00060358" w:rsidRDefault="00661A0E" w:rsidP="004636D9">
      <w:pPr>
        <w:numPr>
          <w:ilvl w:val="1"/>
          <w:numId w:val="14"/>
        </w:numPr>
        <w:spacing w:after="0"/>
        <w:ind w:left="426"/>
        <w:jc w:val="both"/>
        <w:rPr>
          <w:rFonts w:eastAsia="Times New Roman" w:cs="Calibri"/>
          <w:color w:val="000000"/>
        </w:rPr>
      </w:pPr>
      <w:bookmarkStart w:id="3" w:name="page4"/>
      <w:bookmarkEnd w:id="3"/>
      <w:r w:rsidRPr="00060358">
        <w:rPr>
          <w:rFonts w:cs="Calibri"/>
          <w:color w:val="000000"/>
        </w:rPr>
        <w:t xml:space="preserve">Inscription ordinale </w:t>
      </w:r>
      <w:r w:rsidRPr="00173AD7">
        <w:rPr>
          <w:rFonts w:cs="Calibri"/>
          <w:color w:val="000000"/>
        </w:rPr>
        <w:t>définitive</w:t>
      </w:r>
      <w:r w:rsidR="004636D9" w:rsidRPr="00060358">
        <w:rPr>
          <w:rFonts w:cs="Calibri"/>
          <w:b/>
          <w:color w:val="000000"/>
        </w:rPr>
        <w:t xml:space="preserve"> </w:t>
      </w:r>
      <w:r w:rsidR="004636D9" w:rsidRPr="00060358">
        <w:rPr>
          <w:rFonts w:cs="Calibri"/>
          <w:color w:val="000000"/>
        </w:rPr>
        <w:t>de l’AUMG au</w:t>
      </w:r>
      <w:r w:rsidR="006D21D0">
        <w:rPr>
          <w:rFonts w:cs="Calibri"/>
          <w:color w:val="000000"/>
        </w:rPr>
        <w:t xml:space="preserve"> plus tard en date du</w:t>
      </w:r>
      <w:r w:rsidR="004636D9" w:rsidRPr="00060358">
        <w:rPr>
          <w:rFonts w:cs="Calibri"/>
          <w:color w:val="000000"/>
        </w:rPr>
        <w:t xml:space="preserve"> 1er Novembre 2024.  </w:t>
      </w:r>
    </w:p>
    <w:p w14:paraId="64AC6FD4" w14:textId="38C7881A" w:rsidR="00661A0E" w:rsidRPr="00060358" w:rsidRDefault="00661A0E" w:rsidP="00661A0E">
      <w:pPr>
        <w:numPr>
          <w:ilvl w:val="1"/>
          <w:numId w:val="13"/>
        </w:numPr>
        <w:spacing w:after="0"/>
        <w:jc w:val="both"/>
        <w:rPr>
          <w:rFonts w:eastAsia="Times New Roman" w:cs="Calibri"/>
          <w:color w:val="000000"/>
          <w:u w:val="single"/>
        </w:rPr>
      </w:pPr>
      <w:r w:rsidRPr="00060358">
        <w:rPr>
          <w:rFonts w:cs="Calibri"/>
          <w:color w:val="000000"/>
          <w:u w:val="single"/>
        </w:rPr>
        <w:t>Tous les ans </w:t>
      </w:r>
      <w:r w:rsidRPr="00060358">
        <w:rPr>
          <w:rFonts w:eastAsia="Times New Roman" w:cs="Calibri"/>
          <w:color w:val="000000"/>
          <w:u w:val="single"/>
        </w:rPr>
        <w:t>(</w:t>
      </w:r>
      <w:r w:rsidR="004636D9" w:rsidRPr="00060358">
        <w:rPr>
          <w:rFonts w:cs="Calibri"/>
          <w:color w:val="000000"/>
          <w:u w:val="single"/>
        </w:rPr>
        <w:t>au plus tard le 30</w:t>
      </w:r>
      <w:r w:rsidRPr="00060358">
        <w:rPr>
          <w:rFonts w:cs="Calibri"/>
          <w:color w:val="000000"/>
          <w:u w:val="single"/>
        </w:rPr>
        <w:t xml:space="preserve"> </w:t>
      </w:r>
      <w:r w:rsidR="004636D9" w:rsidRPr="00060358">
        <w:rPr>
          <w:rFonts w:cs="Calibri"/>
          <w:color w:val="000000"/>
          <w:u w:val="single"/>
        </w:rPr>
        <w:t xml:space="preserve">juin </w:t>
      </w:r>
      <w:r w:rsidRPr="00060358">
        <w:rPr>
          <w:rFonts w:cs="Calibri"/>
          <w:color w:val="000000"/>
          <w:u w:val="single"/>
        </w:rPr>
        <w:t>de l’année en cours) :</w:t>
      </w:r>
    </w:p>
    <w:p w14:paraId="464B04BD" w14:textId="665B6343" w:rsidR="00661A0E" w:rsidRPr="00060358" w:rsidRDefault="004636D9" w:rsidP="00661A0E">
      <w:pPr>
        <w:numPr>
          <w:ilvl w:val="1"/>
          <w:numId w:val="15"/>
        </w:numPr>
        <w:spacing w:after="0"/>
        <w:ind w:firstLine="364"/>
        <w:jc w:val="both"/>
        <w:rPr>
          <w:rFonts w:cs="Calibri"/>
          <w:color w:val="000000"/>
        </w:rPr>
      </w:pPr>
      <w:r w:rsidRPr="00060358">
        <w:rPr>
          <w:rFonts w:cs="Calibri"/>
          <w:color w:val="000000"/>
        </w:rPr>
        <w:t xml:space="preserve">La totalité des </w:t>
      </w:r>
      <w:r w:rsidR="00661A0E" w:rsidRPr="00060358">
        <w:rPr>
          <w:rFonts w:cs="Calibri"/>
          <w:color w:val="000000"/>
        </w:rPr>
        <w:t>bulletin</w:t>
      </w:r>
      <w:r w:rsidRPr="00060358">
        <w:rPr>
          <w:rFonts w:cs="Calibri"/>
          <w:color w:val="000000"/>
        </w:rPr>
        <w:t>s</w:t>
      </w:r>
      <w:r w:rsidR="00661A0E" w:rsidRPr="00060358">
        <w:rPr>
          <w:rFonts w:cs="Calibri"/>
          <w:color w:val="000000"/>
        </w:rPr>
        <w:t xml:space="preserve"> de salaire </w:t>
      </w:r>
      <w:r w:rsidRPr="00060358">
        <w:rPr>
          <w:rFonts w:cs="Calibri"/>
          <w:color w:val="000000"/>
        </w:rPr>
        <w:t>(janvier à juin 2025)</w:t>
      </w:r>
    </w:p>
    <w:p w14:paraId="21B7CEE5" w14:textId="5F8B206B" w:rsidR="00661A0E" w:rsidRPr="007D1D98" w:rsidRDefault="00661A0E" w:rsidP="007D1D98">
      <w:pPr>
        <w:spacing w:after="0"/>
        <w:jc w:val="both"/>
        <w:rPr>
          <w:rFonts w:cs="Calibri"/>
        </w:rPr>
      </w:pPr>
    </w:p>
    <w:tbl>
      <w:tblPr>
        <w:tblStyle w:val="TableauListe6Couleur1"/>
        <w:tblW w:w="10810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2410"/>
        <w:gridCol w:w="4444"/>
      </w:tblGrid>
      <w:tr w:rsidR="004636D9" w:rsidRPr="004636D9" w14:paraId="6E10FF96" w14:textId="77777777" w:rsidTr="007D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276937C6" w14:textId="5A2FB0CE" w:rsidR="004636D9" w:rsidRPr="00060358" w:rsidRDefault="004636D9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 xml:space="preserve">Vague </w:t>
            </w:r>
            <w:r w:rsidR="007C0015">
              <w:rPr>
                <w:rFonts w:asciiTheme="minorHAnsi" w:hAnsiTheme="minorHAnsi" w:cstheme="minorHAnsi"/>
              </w:rPr>
              <w:t>2024-2026</w:t>
            </w:r>
            <w:r w:rsidRPr="00060358">
              <w:rPr>
                <w:rFonts w:asciiTheme="minorHAnsi" w:hAnsiTheme="minorHAnsi" w:cstheme="minorHAnsi"/>
              </w:rPr>
              <w:t xml:space="preserve"> AUMG</w:t>
            </w:r>
          </w:p>
        </w:tc>
        <w:tc>
          <w:tcPr>
            <w:tcW w:w="2410" w:type="dxa"/>
          </w:tcPr>
          <w:p w14:paraId="7B649C9E" w14:textId="34A667F0" w:rsidR="004636D9" w:rsidRPr="00060358" w:rsidRDefault="004636D9" w:rsidP="004636D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060358">
              <w:rPr>
                <w:rFonts w:asciiTheme="minorHAnsi" w:hAnsiTheme="minorHAnsi" w:cstheme="minorHAnsi"/>
              </w:rPr>
              <w:t>Date prévisionnelle de versement</w:t>
            </w:r>
          </w:p>
        </w:tc>
        <w:tc>
          <w:tcPr>
            <w:tcW w:w="4444" w:type="dxa"/>
          </w:tcPr>
          <w:p w14:paraId="0A8D6965" w14:textId="298200C7" w:rsidR="004636D9" w:rsidRPr="00060358" w:rsidRDefault="004636D9" w:rsidP="004636D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Observation</w:t>
            </w:r>
          </w:p>
        </w:tc>
      </w:tr>
      <w:tr w:rsidR="004636D9" w:rsidRPr="004636D9" w14:paraId="2C5A2A4E" w14:textId="77777777" w:rsidTr="007D1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shd w:val="clear" w:color="auto" w:fill="auto"/>
          </w:tcPr>
          <w:p w14:paraId="676BE888" w14:textId="77777777" w:rsidR="004636D9" w:rsidRPr="00060358" w:rsidRDefault="004636D9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2024</w:t>
            </w:r>
          </w:p>
          <w:p w14:paraId="4977B677" w14:textId="729EB1E3" w:rsidR="007D1D98" w:rsidRPr="00060358" w:rsidRDefault="007D1D98" w:rsidP="007D1D9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 xml:space="preserve">(de novembre </w:t>
            </w:r>
            <w:r w:rsidR="007C0015">
              <w:rPr>
                <w:rFonts w:asciiTheme="minorHAnsi" w:hAnsiTheme="minorHAnsi" w:cstheme="minorHAnsi"/>
              </w:rPr>
              <w:t>à</w:t>
            </w:r>
            <w:r w:rsidRPr="00060358">
              <w:rPr>
                <w:rFonts w:asciiTheme="minorHAnsi" w:hAnsiTheme="minorHAnsi" w:cstheme="minorHAnsi"/>
              </w:rPr>
              <w:t xml:space="preserve"> décembre 2024)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8213F82" w14:textId="77777777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D03B96C" w14:textId="77777777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20A3F4C" w14:textId="4E7B02A6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 xml:space="preserve">Entre le 30 juin 2025 et </w:t>
            </w:r>
            <w:r w:rsidR="007C2C04" w:rsidRPr="00060358">
              <w:rPr>
                <w:rFonts w:asciiTheme="minorHAnsi" w:hAnsiTheme="minorHAnsi" w:cstheme="minorHAnsi"/>
              </w:rPr>
              <w:t xml:space="preserve">30 </w:t>
            </w:r>
            <w:r w:rsidRPr="00060358">
              <w:rPr>
                <w:rFonts w:asciiTheme="minorHAnsi" w:hAnsiTheme="minorHAnsi" w:cstheme="minorHAnsi"/>
              </w:rPr>
              <w:t>septembre 2025</w:t>
            </w:r>
          </w:p>
          <w:p w14:paraId="673FB23E" w14:textId="77777777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7632E46" w14:textId="11962EFD" w:rsidR="004636D9" w:rsidRPr="00060358" w:rsidRDefault="004636D9" w:rsidP="004636D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Merge w:val="restart"/>
            <w:shd w:val="clear" w:color="auto" w:fill="FFFFFF"/>
          </w:tcPr>
          <w:p w14:paraId="109FCB80" w14:textId="5DD960CB" w:rsidR="004636D9" w:rsidRPr="00173AD7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173AD7">
              <w:rPr>
                <w:rFonts w:asciiTheme="minorHAnsi" w:hAnsiTheme="minorHAnsi" w:cstheme="minorHAnsi"/>
                <w:color w:val="auto"/>
              </w:rPr>
              <w:t>La subvention est versée en une seule fois et sous réserve de la réception des pièces justificatives.</w:t>
            </w:r>
          </w:p>
          <w:p w14:paraId="5D4E9FED" w14:textId="7BBD61C6" w:rsidR="004636D9" w:rsidRPr="00060358" w:rsidRDefault="007D1D98" w:rsidP="007D1D9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0358">
              <w:rPr>
                <w:rFonts w:asciiTheme="minorHAnsi" w:hAnsiTheme="minorHAnsi" w:cstheme="minorHAnsi"/>
                <w:bCs/>
              </w:rPr>
              <w:t>Le paiement équivaut à 14 mois</w:t>
            </w:r>
          </w:p>
        </w:tc>
      </w:tr>
      <w:tr w:rsidR="004636D9" w:rsidRPr="004636D9" w14:paraId="5C29405A" w14:textId="77777777" w:rsidTr="007D1D98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shd w:val="clear" w:color="auto" w:fill="auto"/>
          </w:tcPr>
          <w:p w14:paraId="10CCFC66" w14:textId="77777777" w:rsidR="004636D9" w:rsidRPr="00060358" w:rsidRDefault="004636D9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2025</w:t>
            </w:r>
          </w:p>
          <w:p w14:paraId="6BB2EBC2" w14:textId="7227D0E9" w:rsidR="007D1D98" w:rsidRPr="00060358" w:rsidRDefault="007D1D98" w:rsidP="007D1D9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(de janvier à décembre 2025)</w:t>
            </w:r>
          </w:p>
        </w:tc>
        <w:tc>
          <w:tcPr>
            <w:tcW w:w="2410" w:type="dxa"/>
            <w:vMerge/>
            <w:shd w:val="clear" w:color="auto" w:fill="auto"/>
          </w:tcPr>
          <w:p w14:paraId="363EC91D" w14:textId="77777777" w:rsidR="004636D9" w:rsidRPr="00060358" w:rsidRDefault="004636D9" w:rsidP="004636D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44" w:type="dxa"/>
            <w:vMerge/>
            <w:shd w:val="clear" w:color="auto" w:fill="FFFFFF"/>
          </w:tcPr>
          <w:p w14:paraId="31351311" w14:textId="32F32E2A" w:rsidR="004636D9" w:rsidRPr="00060358" w:rsidRDefault="004636D9" w:rsidP="004636D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4636D9" w:rsidRPr="004636D9" w14:paraId="440AE2EF" w14:textId="77777777" w:rsidTr="007D1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shd w:val="clear" w:color="auto" w:fill="auto"/>
          </w:tcPr>
          <w:p w14:paraId="641B33B4" w14:textId="77777777" w:rsidR="007D1D98" w:rsidRPr="00060358" w:rsidRDefault="007D1D98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38B8FF5A" w14:textId="5852307E" w:rsidR="004636D9" w:rsidRPr="00060358" w:rsidRDefault="004636D9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2026</w:t>
            </w:r>
          </w:p>
          <w:p w14:paraId="06E10408" w14:textId="2C5D0D33" w:rsidR="007D1D98" w:rsidRPr="00060358" w:rsidRDefault="007D1D98" w:rsidP="007D1D9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060358">
              <w:rPr>
                <w:rFonts w:asciiTheme="minorHAnsi" w:hAnsiTheme="minorHAnsi" w:cstheme="minorHAnsi"/>
              </w:rPr>
              <w:t>(de janvier à octobre 2026)</w:t>
            </w:r>
          </w:p>
          <w:p w14:paraId="1E5A9DAE" w14:textId="58C92C65" w:rsidR="007D1D98" w:rsidRPr="00060358" w:rsidRDefault="007D1D98" w:rsidP="004636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D8F9B9" w14:textId="77777777" w:rsidR="007D1D98" w:rsidRPr="00060358" w:rsidRDefault="007D1D98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  <w:p w14:paraId="6793C2BE" w14:textId="2D5B6FB3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060358">
              <w:rPr>
                <w:rFonts w:asciiTheme="minorHAnsi" w:hAnsiTheme="minorHAnsi" w:cstheme="minorHAnsi"/>
                <w:bCs/>
              </w:rPr>
              <w:t>Entre le 1</w:t>
            </w:r>
            <w:r w:rsidRPr="00060358">
              <w:rPr>
                <w:rFonts w:asciiTheme="minorHAnsi" w:hAnsiTheme="minorHAnsi" w:cstheme="minorHAnsi"/>
                <w:bCs/>
                <w:vertAlign w:val="superscript"/>
              </w:rPr>
              <w:t>er</w:t>
            </w:r>
            <w:r w:rsidRPr="00060358">
              <w:rPr>
                <w:rFonts w:asciiTheme="minorHAnsi" w:hAnsiTheme="minorHAnsi" w:cstheme="minorHAnsi"/>
                <w:bCs/>
              </w:rPr>
              <w:t xml:space="preserve"> juin et le 30 septembre 2026</w:t>
            </w:r>
          </w:p>
        </w:tc>
        <w:tc>
          <w:tcPr>
            <w:tcW w:w="4444" w:type="dxa"/>
            <w:shd w:val="clear" w:color="auto" w:fill="FFFFFF"/>
          </w:tcPr>
          <w:p w14:paraId="155FE665" w14:textId="143E8A0A" w:rsidR="004636D9" w:rsidRPr="00173AD7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173AD7">
              <w:rPr>
                <w:rFonts w:asciiTheme="minorHAnsi" w:hAnsiTheme="minorHAnsi" w:cstheme="minorHAnsi"/>
                <w:bCs/>
                <w:color w:val="auto"/>
              </w:rPr>
              <w:t>La subvention est versée en une seule fois et sous réserve de la réception des pièces justificatives.</w:t>
            </w:r>
          </w:p>
          <w:p w14:paraId="3E425AA7" w14:textId="68541888" w:rsidR="007D1D98" w:rsidRPr="00060358" w:rsidRDefault="007D1D98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</w:rPr>
            </w:pPr>
            <w:r w:rsidRPr="00060358">
              <w:rPr>
                <w:rFonts w:asciiTheme="minorHAnsi" w:hAnsiTheme="minorHAnsi" w:cstheme="minorHAnsi"/>
                <w:bCs/>
                <w:color w:val="auto"/>
              </w:rPr>
              <w:t>Le paiement équivaut à 10 mois.</w:t>
            </w:r>
          </w:p>
          <w:p w14:paraId="1B165D6D" w14:textId="5143A0F1" w:rsidR="004636D9" w:rsidRPr="00060358" w:rsidRDefault="004636D9" w:rsidP="004636D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3A596E9" w14:textId="77777777" w:rsidR="00060358" w:rsidRDefault="00060358" w:rsidP="00E512B1">
      <w:pPr>
        <w:jc w:val="center"/>
        <w:rPr>
          <w:b/>
        </w:rPr>
      </w:pPr>
    </w:p>
    <w:p w14:paraId="7EBB8B6D" w14:textId="686489A7" w:rsidR="00E512B1" w:rsidRDefault="008303F7" w:rsidP="00173AD7">
      <w:pPr>
        <w:jc w:val="both"/>
        <w:rPr>
          <w:b/>
        </w:rPr>
      </w:pPr>
      <w:r w:rsidRPr="00060358">
        <w:rPr>
          <w:b/>
        </w:rPr>
        <w:t>En l’absence de communication à l’ARS des pièces justificatives ci-avant évoquées, dans les délais de rigueur ci-avant fixés, la délégation des financements prévus aux différentes échéances ne sera pas effectuée.</w:t>
      </w:r>
    </w:p>
    <w:p w14:paraId="7401B3F7" w14:textId="3C65D3FF" w:rsidR="00060358" w:rsidRDefault="00060358" w:rsidP="00060358">
      <w:pPr>
        <w:jc w:val="center"/>
        <w:rPr>
          <w:b/>
        </w:rPr>
      </w:pPr>
    </w:p>
    <w:p w14:paraId="2982B4EE" w14:textId="2EC3C565" w:rsidR="00060358" w:rsidRDefault="00060358" w:rsidP="00060358">
      <w:pPr>
        <w:jc w:val="center"/>
        <w:rPr>
          <w:b/>
        </w:rPr>
      </w:pPr>
    </w:p>
    <w:p w14:paraId="27787EC5" w14:textId="4ABEC377" w:rsidR="00060358" w:rsidRDefault="00060358" w:rsidP="00060358">
      <w:pPr>
        <w:jc w:val="center"/>
        <w:rPr>
          <w:b/>
        </w:rPr>
      </w:pPr>
    </w:p>
    <w:p w14:paraId="135D7AFC" w14:textId="77777777" w:rsidR="00060358" w:rsidRPr="00060358" w:rsidRDefault="00060358" w:rsidP="00060358">
      <w:pPr>
        <w:jc w:val="center"/>
        <w:rPr>
          <w:b/>
        </w:rPr>
      </w:pPr>
    </w:p>
    <w:p w14:paraId="33FD9B03" w14:textId="3F5217CA" w:rsidR="009A2A01" w:rsidRDefault="009A2A01" w:rsidP="00861BC9">
      <w:pPr>
        <w:pStyle w:val="cdc1"/>
        <w:outlineLvl w:val="0"/>
      </w:pPr>
      <w:bookmarkStart w:id="4" w:name="_Toc157695633"/>
      <w:r>
        <w:lastRenderedPageBreak/>
        <w:t>M</w:t>
      </w:r>
      <w:r w:rsidR="007D1D98">
        <w:t>odalit</w:t>
      </w:r>
      <w:r w:rsidR="006D21D0">
        <w:t>É</w:t>
      </w:r>
      <w:r w:rsidR="00637FC3">
        <w:t>s</w:t>
      </w:r>
      <w:r>
        <w:t xml:space="preserve"> d’</w:t>
      </w:r>
      <w:r w:rsidR="00603110">
        <w:t>instruction et</w:t>
      </w:r>
      <w:r>
        <w:t xml:space="preserve"> crit</w:t>
      </w:r>
      <w:r w:rsidR="006D21D0">
        <w:rPr>
          <w:rFonts w:ascii="Arial" w:hAnsi="Arial" w:cs="Arial"/>
        </w:rPr>
        <w:t>Ē</w:t>
      </w:r>
      <w:r>
        <w:t>res de s</w:t>
      </w:r>
      <w:r w:rsidR="006D21D0">
        <w:t>É</w:t>
      </w:r>
      <w:r>
        <w:t>lection</w:t>
      </w:r>
      <w:bookmarkEnd w:id="4"/>
      <w:r>
        <w:t xml:space="preserve"> </w:t>
      </w:r>
    </w:p>
    <w:p w14:paraId="69849937" w14:textId="23115B60" w:rsidR="003E30E0" w:rsidRPr="00060358" w:rsidRDefault="00F52F05" w:rsidP="00E512B1">
      <w:pPr>
        <w:pStyle w:val="Paragraphedeliste"/>
        <w:numPr>
          <w:ilvl w:val="0"/>
          <w:numId w:val="17"/>
        </w:numPr>
        <w:rPr>
          <w:b/>
          <w:color w:val="548DD4" w:themeColor="text2" w:themeTint="99"/>
        </w:rPr>
      </w:pPr>
      <w:r w:rsidRPr="00060358">
        <w:rPr>
          <w:b/>
          <w:color w:val="548DD4" w:themeColor="text2" w:themeTint="99"/>
        </w:rPr>
        <w:t>Conditions pré-requises obligatoires</w:t>
      </w:r>
      <w:r w:rsidR="00F4307D">
        <w:rPr>
          <w:b/>
          <w:color w:val="548DD4" w:themeColor="text2" w:themeTint="99"/>
        </w:rPr>
        <w:t xml:space="preserve"> et documents à transmettre</w:t>
      </w:r>
      <w:r w:rsidRPr="00060358">
        <w:rPr>
          <w:b/>
          <w:color w:val="548DD4" w:themeColor="text2" w:themeTint="99"/>
        </w:rPr>
        <w:t xml:space="preserve"> pour déposer une candidature</w:t>
      </w:r>
    </w:p>
    <w:p w14:paraId="0BA3C436" w14:textId="5891B975" w:rsidR="003E30E0" w:rsidRPr="00060358" w:rsidRDefault="003E30E0" w:rsidP="003E30E0">
      <w:pPr>
        <w:jc w:val="both"/>
        <w:rPr>
          <w:u w:val="single"/>
        </w:rPr>
      </w:pPr>
      <w:r w:rsidRPr="00060358">
        <w:rPr>
          <w:u w:val="single"/>
        </w:rPr>
        <w:t>Concernant le candidat pressenti :</w:t>
      </w:r>
    </w:p>
    <w:p w14:paraId="24AAF4D4" w14:textId="3DC8F204" w:rsidR="003E30E0" w:rsidRPr="00060358" w:rsidRDefault="003E30E0" w:rsidP="003E30E0">
      <w:pPr>
        <w:pStyle w:val="Paragraphedeliste"/>
        <w:numPr>
          <w:ilvl w:val="0"/>
          <w:numId w:val="2"/>
        </w:numPr>
        <w:jc w:val="both"/>
      </w:pPr>
      <w:r w:rsidRPr="00060358">
        <w:t>Curriculum Vitae</w:t>
      </w:r>
    </w:p>
    <w:p w14:paraId="4D7F3F1C" w14:textId="77777777" w:rsidR="003E30E0" w:rsidRPr="00060358" w:rsidRDefault="003E30E0" w:rsidP="003E30E0">
      <w:pPr>
        <w:pStyle w:val="Paragraphedeliste"/>
        <w:numPr>
          <w:ilvl w:val="0"/>
          <w:numId w:val="2"/>
        </w:numPr>
        <w:jc w:val="both"/>
      </w:pPr>
      <w:r w:rsidRPr="00060358">
        <w:t>Lettre de motivation</w:t>
      </w:r>
    </w:p>
    <w:p w14:paraId="419121DC" w14:textId="77777777" w:rsidR="003E30E0" w:rsidRPr="00060358" w:rsidRDefault="003E30E0" w:rsidP="003E30E0">
      <w:pPr>
        <w:pStyle w:val="Paragraphedeliste"/>
        <w:numPr>
          <w:ilvl w:val="0"/>
          <w:numId w:val="2"/>
        </w:numPr>
        <w:jc w:val="both"/>
      </w:pPr>
      <w:r w:rsidRPr="00060358">
        <w:t xml:space="preserve">Inscription ordinale du candidat </w:t>
      </w:r>
    </w:p>
    <w:p w14:paraId="25A4E3B3" w14:textId="52C11DFB" w:rsidR="003E30E0" w:rsidRPr="00060358" w:rsidRDefault="007C0015" w:rsidP="003E30E0">
      <w:pPr>
        <w:pStyle w:val="Paragraphedeliste"/>
        <w:numPr>
          <w:ilvl w:val="0"/>
          <w:numId w:val="2"/>
        </w:numPr>
        <w:jc w:val="both"/>
      </w:pPr>
      <w:r>
        <w:t>Etre en p</w:t>
      </w:r>
      <w:r w:rsidR="003E30E0" w:rsidRPr="00060358">
        <w:t>ost-internat (maximum 4 ans après l</w:t>
      </w:r>
      <w:r w:rsidR="006D21D0">
        <w:t>’obtention du</w:t>
      </w:r>
      <w:r w:rsidR="003E30E0" w:rsidRPr="00060358">
        <w:t xml:space="preserve"> DES de médecine générale)</w:t>
      </w:r>
    </w:p>
    <w:p w14:paraId="41C00B4A" w14:textId="1B369B80" w:rsidR="003E30E0" w:rsidRPr="00060358" w:rsidRDefault="003E30E0" w:rsidP="003E30E0">
      <w:pPr>
        <w:jc w:val="both"/>
        <w:rPr>
          <w:u w:val="single"/>
        </w:rPr>
      </w:pPr>
      <w:r w:rsidRPr="00060358">
        <w:rPr>
          <w:u w:val="single"/>
        </w:rPr>
        <w:t xml:space="preserve">Concernant les </w:t>
      </w:r>
      <w:r w:rsidR="00554E75" w:rsidRPr="00060358">
        <w:rPr>
          <w:u w:val="single"/>
        </w:rPr>
        <w:t xml:space="preserve">UFR </w:t>
      </w:r>
      <w:r w:rsidRPr="00060358">
        <w:rPr>
          <w:u w:val="single"/>
        </w:rPr>
        <w:t xml:space="preserve">et les structures de soins : </w:t>
      </w:r>
    </w:p>
    <w:p w14:paraId="7F7DF7BC" w14:textId="77777777" w:rsidR="003E30E0" w:rsidRPr="00060358" w:rsidRDefault="003E30E0" w:rsidP="003E30E0">
      <w:pPr>
        <w:pStyle w:val="Paragraphedeliste"/>
        <w:numPr>
          <w:ilvl w:val="0"/>
          <w:numId w:val="2"/>
        </w:numPr>
        <w:jc w:val="both"/>
      </w:pPr>
      <w:r w:rsidRPr="00060358">
        <w:t>Accord sur le projet et sur le recrutement du candidat pressenti</w:t>
      </w:r>
    </w:p>
    <w:p w14:paraId="5CDBB282" w14:textId="4680AE37" w:rsidR="003E30E0" w:rsidRPr="00060358" w:rsidRDefault="003E30E0" w:rsidP="005A0B5D">
      <w:pPr>
        <w:pStyle w:val="Paragraphedeliste"/>
        <w:numPr>
          <w:ilvl w:val="0"/>
          <w:numId w:val="2"/>
        </w:numPr>
        <w:jc w:val="both"/>
      </w:pPr>
      <w:r w:rsidRPr="00060358">
        <w:t>Projet de coopération entre les partenaires</w:t>
      </w:r>
    </w:p>
    <w:p w14:paraId="51A841C1" w14:textId="77777777" w:rsidR="005A0B5D" w:rsidRPr="00060358" w:rsidRDefault="005A0B5D" w:rsidP="005A0B5D">
      <w:pPr>
        <w:pStyle w:val="Paragraphedeliste"/>
        <w:jc w:val="both"/>
      </w:pPr>
    </w:p>
    <w:p w14:paraId="387216E2" w14:textId="4B6B0F7D" w:rsidR="003E30E0" w:rsidRPr="00060358" w:rsidRDefault="003E4935" w:rsidP="003E30E0">
      <w:pPr>
        <w:pStyle w:val="Paragraphedeliste"/>
        <w:numPr>
          <w:ilvl w:val="0"/>
          <w:numId w:val="20"/>
        </w:numPr>
        <w:spacing w:after="0"/>
        <w:jc w:val="both"/>
      </w:pPr>
      <w:r w:rsidRPr="00060358">
        <w:t xml:space="preserve">Un dossier par </w:t>
      </w:r>
      <w:r w:rsidR="00554E75" w:rsidRPr="00060358">
        <w:t>UFR</w:t>
      </w:r>
      <w:r w:rsidRPr="00060358">
        <w:t>, composé de sept volets est à</w:t>
      </w:r>
      <w:r w:rsidRPr="00060358">
        <w:rPr>
          <w:b/>
        </w:rPr>
        <w:t xml:space="preserve"> </w:t>
      </w:r>
      <w:r w:rsidRPr="00060358">
        <w:t xml:space="preserve">remplir et à déposer sur une plateforme en ligne </w:t>
      </w:r>
      <w:r w:rsidR="003E30E0" w:rsidRPr="00060358">
        <w:t xml:space="preserve">jusqu’au </w:t>
      </w:r>
      <w:r w:rsidR="00F4307D">
        <w:t>30</w:t>
      </w:r>
      <w:r w:rsidR="003E30E0" w:rsidRPr="00060358">
        <w:t xml:space="preserve"> Avril 2024. </w:t>
      </w:r>
    </w:p>
    <w:p w14:paraId="425E4E80" w14:textId="77777777" w:rsidR="003E30E0" w:rsidRPr="00060358" w:rsidRDefault="003E30E0" w:rsidP="003E30E0">
      <w:pPr>
        <w:pStyle w:val="Paragraphedeliste"/>
        <w:spacing w:after="0"/>
        <w:jc w:val="both"/>
      </w:pPr>
    </w:p>
    <w:p w14:paraId="68B5A29F" w14:textId="0CFDF11D" w:rsidR="003E4935" w:rsidRDefault="003E4935" w:rsidP="003E4935">
      <w:pPr>
        <w:pStyle w:val="Paragraphedeliste"/>
        <w:numPr>
          <w:ilvl w:val="0"/>
          <w:numId w:val="17"/>
        </w:numPr>
        <w:spacing w:after="0"/>
        <w:jc w:val="both"/>
        <w:rPr>
          <w:b/>
          <w:color w:val="548DD4" w:themeColor="text2" w:themeTint="99"/>
        </w:rPr>
      </w:pPr>
      <w:r w:rsidRPr="00060358">
        <w:rPr>
          <w:b/>
          <w:color w:val="548DD4" w:themeColor="text2" w:themeTint="99"/>
        </w:rPr>
        <w:t>Autres critères susceptibles d’être pris en compte dans la sélection des candidatures</w:t>
      </w:r>
    </w:p>
    <w:p w14:paraId="0517921F" w14:textId="77777777" w:rsidR="001627E0" w:rsidRPr="001627E0" w:rsidRDefault="001627E0" w:rsidP="001627E0">
      <w:pPr>
        <w:pStyle w:val="Paragraphedeliste"/>
        <w:spacing w:after="0"/>
        <w:jc w:val="both"/>
        <w:rPr>
          <w:b/>
          <w:color w:val="548DD4" w:themeColor="text2" w:themeTint="99"/>
        </w:rPr>
      </w:pPr>
    </w:p>
    <w:p w14:paraId="1D396B89" w14:textId="456BF967" w:rsidR="003E4935" w:rsidRPr="00060358" w:rsidRDefault="003E4935" w:rsidP="003E4935">
      <w:pPr>
        <w:spacing w:after="0"/>
        <w:jc w:val="both"/>
        <w:rPr>
          <w:u w:val="single"/>
        </w:rPr>
      </w:pPr>
      <w:r w:rsidRPr="00060358">
        <w:rPr>
          <w:u w:val="single"/>
        </w:rPr>
        <w:t>Sur les projets proposés par les structures de soins</w:t>
      </w:r>
    </w:p>
    <w:p w14:paraId="30E62505" w14:textId="653DF97D" w:rsidR="005A0B5D" w:rsidRPr="00060358" w:rsidRDefault="003E4935" w:rsidP="003E4935">
      <w:pPr>
        <w:pStyle w:val="Paragraphedeliste"/>
        <w:numPr>
          <w:ilvl w:val="0"/>
          <w:numId w:val="28"/>
        </w:numPr>
        <w:spacing w:after="0"/>
        <w:jc w:val="both"/>
      </w:pPr>
      <w:r w:rsidRPr="00060358">
        <w:t xml:space="preserve">Cabinets </w:t>
      </w:r>
      <w:r w:rsidR="006D21D0">
        <w:t>individuels</w:t>
      </w:r>
      <w:r w:rsidR="006D21D0" w:rsidRPr="00060358">
        <w:t xml:space="preserve"> </w:t>
      </w:r>
      <w:r w:rsidRPr="00060358">
        <w:t>et structures collectives notamment dans des zones identifiées comme étant en tension s</w:t>
      </w:r>
      <w:r w:rsidR="005A0B5D" w:rsidRPr="00060358">
        <w:t>elon l’arrêté du zonage médecins</w:t>
      </w:r>
      <w:r w:rsidR="007C0015">
        <w:t xml:space="preserve"> ou accueillant des publics à difficultés spécifiques (personnes migrantes, en situation de grande précarité, souffrant d’addictions…)</w:t>
      </w:r>
    </w:p>
    <w:p w14:paraId="0F91FC22" w14:textId="4B1729B5" w:rsidR="005A0B5D" w:rsidRPr="00060358" w:rsidRDefault="003E4935" w:rsidP="003E4935">
      <w:pPr>
        <w:pStyle w:val="Paragraphedeliste"/>
        <w:numPr>
          <w:ilvl w:val="0"/>
          <w:numId w:val="28"/>
        </w:numPr>
        <w:spacing w:after="0"/>
        <w:jc w:val="both"/>
      </w:pPr>
      <w:r w:rsidRPr="00060358">
        <w:t>Les structures de soins doivent agréées pour accueillir des internes</w:t>
      </w:r>
    </w:p>
    <w:p w14:paraId="6A9CD4B0" w14:textId="768DC960" w:rsidR="005A0B5D" w:rsidRPr="00060358" w:rsidRDefault="003E4935" w:rsidP="003E4935">
      <w:pPr>
        <w:pStyle w:val="Paragraphedeliste"/>
        <w:numPr>
          <w:ilvl w:val="0"/>
          <w:numId w:val="28"/>
        </w:numPr>
        <w:spacing w:after="0"/>
        <w:jc w:val="both"/>
      </w:pPr>
      <w:r w:rsidRPr="00060358">
        <w:t xml:space="preserve">Coopération déjà existante entre l’Université et la structure de soins, présence </w:t>
      </w:r>
      <w:r w:rsidR="00F4307D">
        <w:t xml:space="preserve">souhaitée </w:t>
      </w:r>
      <w:r w:rsidRPr="00060358">
        <w:t>sur place d’un universitaire</w:t>
      </w:r>
    </w:p>
    <w:p w14:paraId="731B7BFC" w14:textId="5E75DC99" w:rsidR="00811534" w:rsidRPr="00060358" w:rsidRDefault="003E4935" w:rsidP="003E4935">
      <w:pPr>
        <w:pStyle w:val="Paragraphedeliste"/>
        <w:numPr>
          <w:ilvl w:val="0"/>
          <w:numId w:val="28"/>
        </w:numPr>
        <w:spacing w:after="0"/>
        <w:jc w:val="both"/>
      </w:pPr>
      <w:r w:rsidRPr="00060358">
        <w:t>Participation des AUMG à la Permanence Des Soins Ambulatoire (PDSA)</w:t>
      </w:r>
    </w:p>
    <w:p w14:paraId="1F3E635C" w14:textId="5F480931" w:rsidR="009A2A01" w:rsidRPr="00060358" w:rsidRDefault="009A2A01" w:rsidP="00B77AB4">
      <w:pPr>
        <w:spacing w:after="0"/>
        <w:jc w:val="both"/>
        <w:rPr>
          <w:sz w:val="20"/>
        </w:rPr>
      </w:pPr>
    </w:p>
    <w:p w14:paraId="1912AC50" w14:textId="00C82C9D" w:rsidR="003E4935" w:rsidRPr="00060358" w:rsidRDefault="003E4935" w:rsidP="003E4935">
      <w:pPr>
        <w:pStyle w:val="Paragraphedeliste"/>
        <w:numPr>
          <w:ilvl w:val="0"/>
          <w:numId w:val="17"/>
        </w:numPr>
        <w:rPr>
          <w:b/>
          <w:color w:val="548DD4" w:themeColor="text2" w:themeTint="99"/>
        </w:rPr>
      </w:pPr>
      <w:r w:rsidRPr="00060358">
        <w:rPr>
          <w:b/>
          <w:color w:val="548DD4" w:themeColor="text2" w:themeTint="99"/>
        </w:rPr>
        <w:t xml:space="preserve">Jury de sélection des candidatures </w:t>
      </w:r>
    </w:p>
    <w:p w14:paraId="14F67094" w14:textId="6EFDBD5A" w:rsidR="003E4935" w:rsidRPr="00060358" w:rsidRDefault="003E4935" w:rsidP="003E4935">
      <w:pPr>
        <w:jc w:val="both"/>
      </w:pPr>
      <w:r w:rsidRPr="00060358">
        <w:t xml:space="preserve">Un jury de sélection présidé par l’ARS </w:t>
      </w:r>
      <w:r w:rsidR="00526407" w:rsidRPr="00060358">
        <w:t xml:space="preserve">examinera les candidatures </w:t>
      </w:r>
    </w:p>
    <w:p w14:paraId="4D499C2E" w14:textId="77777777" w:rsidR="003E4935" w:rsidRPr="00060358" w:rsidRDefault="003E4935" w:rsidP="003E4935">
      <w:pPr>
        <w:jc w:val="both"/>
      </w:pPr>
      <w:r w:rsidRPr="00060358">
        <w:t>Ce jury de sélection est composé des membres suivants :</w:t>
      </w:r>
    </w:p>
    <w:p w14:paraId="1BF97651" w14:textId="3DFE438A" w:rsidR="003E4935" w:rsidRPr="00060358" w:rsidRDefault="005A0B5D" w:rsidP="005A0B5D">
      <w:pPr>
        <w:pStyle w:val="Paragraphedeliste"/>
        <w:numPr>
          <w:ilvl w:val="0"/>
          <w:numId w:val="28"/>
        </w:numPr>
        <w:jc w:val="both"/>
      </w:pPr>
      <w:r w:rsidRPr="00060358">
        <w:t>L</w:t>
      </w:r>
      <w:r w:rsidR="003E4935" w:rsidRPr="00060358">
        <w:t xml:space="preserve">e président de la Conférence des Doyens </w:t>
      </w:r>
    </w:p>
    <w:p w14:paraId="4C3CC097" w14:textId="23C18897" w:rsidR="003E4935" w:rsidRPr="00060358" w:rsidRDefault="005A0B5D" w:rsidP="005A0B5D">
      <w:pPr>
        <w:pStyle w:val="Paragraphedeliste"/>
        <w:numPr>
          <w:ilvl w:val="0"/>
          <w:numId w:val="28"/>
        </w:numPr>
        <w:jc w:val="both"/>
      </w:pPr>
      <w:r w:rsidRPr="00060358">
        <w:t>L</w:t>
      </w:r>
      <w:r w:rsidR="003E4935" w:rsidRPr="00060358">
        <w:t>e coordonnateur du DES de Médecine Générale</w:t>
      </w:r>
    </w:p>
    <w:p w14:paraId="51B53F6A" w14:textId="08BC448A" w:rsidR="003E4935" w:rsidRPr="00060358" w:rsidRDefault="005A0B5D" w:rsidP="005A0B5D">
      <w:pPr>
        <w:pStyle w:val="Paragraphedeliste"/>
        <w:numPr>
          <w:ilvl w:val="0"/>
          <w:numId w:val="28"/>
        </w:numPr>
        <w:jc w:val="both"/>
      </w:pPr>
      <w:r w:rsidRPr="00060358">
        <w:t>L</w:t>
      </w:r>
      <w:r w:rsidR="003E4935" w:rsidRPr="00060358">
        <w:t xml:space="preserve">es fédérations des structures d’exercices de soins </w:t>
      </w:r>
      <w:r w:rsidR="00526407" w:rsidRPr="00060358">
        <w:t xml:space="preserve">de ville </w:t>
      </w:r>
      <w:r w:rsidR="003E4935" w:rsidRPr="00060358">
        <w:t>(FNCS, FEMASIF)</w:t>
      </w:r>
    </w:p>
    <w:p w14:paraId="314EA831" w14:textId="17560A1A" w:rsidR="003E4935" w:rsidRPr="00060358" w:rsidRDefault="005A0B5D" w:rsidP="005A0B5D">
      <w:pPr>
        <w:pStyle w:val="Paragraphedeliste"/>
        <w:numPr>
          <w:ilvl w:val="0"/>
          <w:numId w:val="28"/>
        </w:numPr>
        <w:jc w:val="both"/>
      </w:pPr>
      <w:r w:rsidRPr="00060358">
        <w:t>L’</w:t>
      </w:r>
      <w:r w:rsidR="003E4935" w:rsidRPr="00060358">
        <w:t xml:space="preserve">Union Régionale des Professionnels de </w:t>
      </w:r>
      <w:r w:rsidR="00526407" w:rsidRPr="00060358">
        <w:t>S</w:t>
      </w:r>
      <w:r w:rsidR="003E4935" w:rsidRPr="00060358">
        <w:t xml:space="preserve">anté </w:t>
      </w:r>
      <w:r w:rsidR="00526407" w:rsidRPr="00060358">
        <w:t xml:space="preserve">(URPS) </w:t>
      </w:r>
      <w:r w:rsidR="003E4935" w:rsidRPr="00060358">
        <w:t>médecins libéraux</w:t>
      </w:r>
    </w:p>
    <w:p w14:paraId="31971BBF" w14:textId="06980165" w:rsidR="003E4935" w:rsidRPr="00060358" w:rsidRDefault="005A0B5D" w:rsidP="005A0B5D">
      <w:pPr>
        <w:pStyle w:val="Paragraphedeliste"/>
        <w:numPr>
          <w:ilvl w:val="0"/>
          <w:numId w:val="28"/>
        </w:numPr>
        <w:jc w:val="both"/>
      </w:pPr>
      <w:r w:rsidRPr="00060358">
        <w:t>L</w:t>
      </w:r>
      <w:r w:rsidR="003E4935" w:rsidRPr="00060358">
        <w:t>e SNJMG et REAGJIR</w:t>
      </w:r>
    </w:p>
    <w:p w14:paraId="5169F026" w14:textId="5ACE4A35" w:rsidR="003E30E0" w:rsidRPr="00060358" w:rsidRDefault="003E4935" w:rsidP="00D5158F">
      <w:pPr>
        <w:jc w:val="both"/>
        <w:rPr>
          <w:sz w:val="20"/>
        </w:rPr>
      </w:pPr>
      <w:r w:rsidRPr="00060358">
        <w:rPr>
          <w:sz w:val="20"/>
        </w:rPr>
        <w:lastRenderedPageBreak/>
        <w:sym w:font="Wingdings" w:char="F0E0"/>
      </w:r>
      <w:r w:rsidRPr="00060358">
        <w:rPr>
          <w:sz w:val="20"/>
        </w:rPr>
        <w:t xml:space="preserve"> </w:t>
      </w:r>
      <w:r w:rsidRPr="00060358">
        <w:t xml:space="preserve">Un représentant par </w:t>
      </w:r>
      <w:r w:rsidR="00526407" w:rsidRPr="00060358">
        <w:t xml:space="preserve">UFR </w:t>
      </w:r>
      <w:r w:rsidRPr="00060358">
        <w:t>est invité à venir présenter son ou ses dossi</w:t>
      </w:r>
      <w:r w:rsidR="005A0B5D" w:rsidRPr="00060358">
        <w:t>ers devant les membres du jury.</w:t>
      </w:r>
    </w:p>
    <w:tbl>
      <w:tblPr>
        <w:tblStyle w:val="Grilledutableau"/>
        <w:tblpPr w:leftFromText="141" w:rightFromText="141" w:vertAnchor="text" w:horzAnchor="margin" w:tblpY="982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45"/>
        <w:gridCol w:w="5017"/>
      </w:tblGrid>
      <w:tr w:rsidR="00E512B1" w:rsidRPr="00886D99" w14:paraId="7C3581CA" w14:textId="77777777" w:rsidTr="001627E0">
        <w:tc>
          <w:tcPr>
            <w:tcW w:w="9062" w:type="dxa"/>
            <w:gridSpan w:val="2"/>
            <w:shd w:val="clear" w:color="auto" w:fill="B8CCE4" w:themeFill="accent1" w:themeFillTint="66"/>
          </w:tcPr>
          <w:p w14:paraId="31C35D0D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  <w:p w14:paraId="32C0D6EB" w14:textId="13268286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>Calendrier</w:t>
            </w:r>
          </w:p>
          <w:p w14:paraId="2B01B97C" w14:textId="49EE62A0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  <w:u w:val="single"/>
              </w:rPr>
            </w:pPr>
            <w:r w:rsidRPr="001627E0">
              <w:rPr>
                <w:b/>
                <w:sz w:val="20"/>
                <w:szCs w:val="24"/>
                <w:u w:val="single"/>
              </w:rPr>
              <w:t xml:space="preserve"> </w:t>
            </w:r>
          </w:p>
        </w:tc>
      </w:tr>
      <w:tr w:rsidR="00E512B1" w:rsidRPr="00886D99" w14:paraId="19A46A33" w14:textId="77777777" w:rsidTr="001627E0">
        <w:tc>
          <w:tcPr>
            <w:tcW w:w="4045" w:type="dxa"/>
            <w:shd w:val="clear" w:color="auto" w:fill="FFFFFF" w:themeFill="background1"/>
          </w:tcPr>
          <w:p w14:paraId="365AAB5B" w14:textId="77777777" w:rsidR="00E512B1" w:rsidRPr="00B64C7F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B64C7F">
              <w:rPr>
                <w:b/>
                <w:sz w:val="20"/>
                <w:szCs w:val="24"/>
              </w:rPr>
              <w:t>Dépôt des candidatures en ligne</w:t>
            </w:r>
          </w:p>
          <w:p w14:paraId="1836F460" w14:textId="77777777" w:rsidR="00E512B1" w:rsidRPr="00B64C7F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14:paraId="0F49B4A9" w14:textId="7E7D7D11" w:rsidR="00E512B1" w:rsidRPr="00B64C7F" w:rsidRDefault="00F87CBF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B64C7F">
              <w:rPr>
                <w:b/>
                <w:sz w:val="20"/>
                <w:szCs w:val="24"/>
              </w:rPr>
              <w:t>Jusqu’au 30 avril 2024</w:t>
            </w:r>
          </w:p>
        </w:tc>
      </w:tr>
      <w:tr w:rsidR="00E512B1" w:rsidRPr="00886D99" w14:paraId="2FE6CA81" w14:textId="77777777" w:rsidTr="001627E0">
        <w:tc>
          <w:tcPr>
            <w:tcW w:w="4045" w:type="dxa"/>
            <w:shd w:val="clear" w:color="auto" w:fill="FFFFFF" w:themeFill="background1"/>
          </w:tcPr>
          <w:p w14:paraId="2BC127FB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  <w:p w14:paraId="2C279CEE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>Jury de sélection</w:t>
            </w:r>
          </w:p>
          <w:p w14:paraId="06BC1AA6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14:paraId="79571104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trike/>
                <w:sz w:val="20"/>
                <w:szCs w:val="24"/>
              </w:rPr>
            </w:pPr>
          </w:p>
          <w:p w14:paraId="1C34C7EF" w14:textId="159915DE" w:rsidR="00E512B1" w:rsidRPr="001627E0" w:rsidRDefault="006D21D0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À</w:t>
            </w:r>
            <w:r w:rsidR="00E512B1" w:rsidRPr="001627E0">
              <w:rPr>
                <w:b/>
                <w:sz w:val="20"/>
                <w:szCs w:val="24"/>
              </w:rPr>
              <w:t xml:space="preserve"> partir de la première semaine de juin 2024</w:t>
            </w:r>
          </w:p>
        </w:tc>
      </w:tr>
      <w:tr w:rsidR="00E512B1" w:rsidRPr="00886D99" w14:paraId="2B9CCCE2" w14:textId="77777777" w:rsidTr="001627E0">
        <w:tc>
          <w:tcPr>
            <w:tcW w:w="4045" w:type="dxa"/>
            <w:shd w:val="clear" w:color="auto" w:fill="FFFFFF" w:themeFill="background1"/>
          </w:tcPr>
          <w:p w14:paraId="43F396EC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  <w:p w14:paraId="72F1B053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 xml:space="preserve">Notification des décisions </w:t>
            </w:r>
          </w:p>
          <w:p w14:paraId="3D066321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14:paraId="3915AFF2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trike/>
                <w:sz w:val="20"/>
                <w:szCs w:val="24"/>
              </w:rPr>
            </w:pPr>
          </w:p>
          <w:p w14:paraId="100BB148" w14:textId="71F0F62D" w:rsidR="00CF13D5" w:rsidRPr="001627E0" w:rsidRDefault="006D21D0" w:rsidP="001627E0">
            <w:pPr>
              <w:pStyle w:val="Paragraphedeliste"/>
              <w:ind w:left="0"/>
              <w:jc w:val="both"/>
              <w:rPr>
                <w:b/>
                <w:color w:val="FF0000"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À</w:t>
            </w:r>
            <w:r w:rsidR="00CF13D5" w:rsidRPr="001627E0">
              <w:rPr>
                <w:b/>
                <w:sz w:val="20"/>
                <w:szCs w:val="24"/>
              </w:rPr>
              <w:t xml:space="preserve"> partir du 17 juin 2024</w:t>
            </w:r>
          </w:p>
        </w:tc>
      </w:tr>
      <w:tr w:rsidR="00E512B1" w:rsidRPr="00886D99" w14:paraId="1D5EF6B4" w14:textId="77777777" w:rsidTr="001627E0">
        <w:tc>
          <w:tcPr>
            <w:tcW w:w="4045" w:type="dxa"/>
            <w:shd w:val="clear" w:color="auto" w:fill="FFFFFF" w:themeFill="background1"/>
          </w:tcPr>
          <w:p w14:paraId="396CB6A5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  <w:p w14:paraId="1AA7A8CB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>Prise de poste</w:t>
            </w:r>
          </w:p>
          <w:p w14:paraId="2D0326D9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14:paraId="6CF62806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 xml:space="preserve"> </w:t>
            </w:r>
          </w:p>
          <w:p w14:paraId="3A6A5C2D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>1</w:t>
            </w:r>
            <w:r w:rsidRPr="001627E0">
              <w:rPr>
                <w:b/>
                <w:sz w:val="20"/>
                <w:szCs w:val="24"/>
                <w:vertAlign w:val="superscript"/>
              </w:rPr>
              <w:t>er</w:t>
            </w:r>
            <w:r w:rsidRPr="001627E0">
              <w:rPr>
                <w:b/>
                <w:sz w:val="20"/>
                <w:szCs w:val="24"/>
              </w:rPr>
              <w:t xml:space="preserve"> Novembre 2024</w:t>
            </w:r>
          </w:p>
        </w:tc>
      </w:tr>
      <w:tr w:rsidR="00E512B1" w:rsidRPr="00886D99" w14:paraId="761F0A48" w14:textId="77777777" w:rsidTr="001627E0">
        <w:tc>
          <w:tcPr>
            <w:tcW w:w="4045" w:type="dxa"/>
            <w:shd w:val="clear" w:color="auto" w:fill="FFFFFF" w:themeFill="background1"/>
          </w:tcPr>
          <w:p w14:paraId="5F2B0E63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  <w:p w14:paraId="11D3D23F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 xml:space="preserve">AUMG en fonction </w:t>
            </w:r>
          </w:p>
          <w:p w14:paraId="06356C0B" w14:textId="77777777" w:rsidR="00E512B1" w:rsidRPr="001627E0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  <w:tc>
          <w:tcPr>
            <w:tcW w:w="5017" w:type="dxa"/>
            <w:shd w:val="clear" w:color="auto" w:fill="FFFFFF" w:themeFill="background1"/>
          </w:tcPr>
          <w:p w14:paraId="74487E2F" w14:textId="77777777" w:rsidR="00E512B1" w:rsidRDefault="00E512B1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  <w:r w:rsidRPr="001627E0">
              <w:rPr>
                <w:b/>
                <w:sz w:val="20"/>
                <w:szCs w:val="24"/>
              </w:rPr>
              <w:t>Du 1</w:t>
            </w:r>
            <w:r w:rsidRPr="001627E0">
              <w:rPr>
                <w:b/>
                <w:sz w:val="20"/>
                <w:szCs w:val="24"/>
                <w:vertAlign w:val="superscript"/>
              </w:rPr>
              <w:t>er</w:t>
            </w:r>
            <w:r w:rsidRPr="001627E0">
              <w:rPr>
                <w:b/>
                <w:sz w:val="20"/>
                <w:szCs w:val="24"/>
              </w:rPr>
              <w:t xml:space="preserve"> Novembre 2024 au 31 Oc</w:t>
            </w:r>
            <w:r w:rsidR="001627E0">
              <w:rPr>
                <w:b/>
                <w:sz w:val="20"/>
                <w:szCs w:val="24"/>
              </w:rPr>
              <w:t>tobre 2026 si primo-recrutement</w:t>
            </w:r>
          </w:p>
          <w:p w14:paraId="6621DB3F" w14:textId="77777777" w:rsidR="001627E0" w:rsidRPr="001627E0" w:rsidRDefault="001627E0" w:rsidP="001627E0">
            <w:pPr>
              <w:rPr>
                <w:sz w:val="20"/>
                <w:szCs w:val="24"/>
              </w:rPr>
            </w:pPr>
            <w:r w:rsidRPr="001627E0">
              <w:rPr>
                <w:sz w:val="20"/>
                <w:szCs w:val="24"/>
              </w:rPr>
              <w:t xml:space="preserve">Pour les renouvellements : </w:t>
            </w:r>
          </w:p>
          <w:p w14:paraId="3BE4E544" w14:textId="40C7D338" w:rsidR="001627E0" w:rsidRPr="001627E0" w:rsidRDefault="001627E0" w:rsidP="001627E0">
            <w:pPr>
              <w:pStyle w:val="Paragraphedeliste"/>
              <w:numPr>
                <w:ilvl w:val="0"/>
                <w:numId w:val="31"/>
              </w:numPr>
              <w:rPr>
                <w:sz w:val="20"/>
                <w:szCs w:val="24"/>
              </w:rPr>
            </w:pPr>
            <w:r w:rsidRPr="001627E0">
              <w:rPr>
                <w:sz w:val="20"/>
                <w:szCs w:val="24"/>
              </w:rPr>
              <w:t>Du 1</w:t>
            </w:r>
            <w:r w:rsidRPr="001627E0">
              <w:rPr>
                <w:sz w:val="20"/>
                <w:szCs w:val="24"/>
                <w:vertAlign w:val="superscript"/>
              </w:rPr>
              <w:t>er</w:t>
            </w:r>
            <w:r w:rsidRPr="001627E0">
              <w:rPr>
                <w:sz w:val="20"/>
                <w:szCs w:val="24"/>
              </w:rPr>
              <w:t xml:space="preserve"> novembre 202</w:t>
            </w:r>
            <w:r w:rsidR="003C41E7">
              <w:rPr>
                <w:sz w:val="20"/>
                <w:szCs w:val="24"/>
              </w:rPr>
              <w:t>6</w:t>
            </w:r>
            <w:r w:rsidRPr="001627E0">
              <w:rPr>
                <w:sz w:val="20"/>
                <w:szCs w:val="24"/>
              </w:rPr>
              <w:t xml:space="preserve"> au 30 octobre 202</w:t>
            </w:r>
            <w:r w:rsidR="003C41E7">
              <w:rPr>
                <w:sz w:val="20"/>
                <w:szCs w:val="24"/>
              </w:rPr>
              <w:t>7</w:t>
            </w:r>
            <w:r w:rsidRPr="001627E0">
              <w:rPr>
                <w:sz w:val="20"/>
                <w:szCs w:val="24"/>
              </w:rPr>
              <w:t>, si renouvellement</w:t>
            </w:r>
          </w:p>
          <w:p w14:paraId="573C3253" w14:textId="672FCA53" w:rsidR="001627E0" w:rsidRPr="001627E0" w:rsidRDefault="001627E0" w:rsidP="001627E0">
            <w:pPr>
              <w:pStyle w:val="Paragraphedeliste"/>
              <w:numPr>
                <w:ilvl w:val="0"/>
                <w:numId w:val="31"/>
              </w:numPr>
              <w:rPr>
                <w:sz w:val="20"/>
                <w:szCs w:val="24"/>
              </w:rPr>
            </w:pPr>
            <w:r w:rsidRPr="001627E0">
              <w:rPr>
                <w:sz w:val="20"/>
                <w:szCs w:val="24"/>
              </w:rPr>
              <w:t>Du 1</w:t>
            </w:r>
            <w:r w:rsidRPr="001627E0">
              <w:rPr>
                <w:sz w:val="20"/>
                <w:szCs w:val="24"/>
                <w:vertAlign w:val="superscript"/>
              </w:rPr>
              <w:t>er</w:t>
            </w:r>
            <w:r w:rsidRPr="001627E0">
              <w:rPr>
                <w:sz w:val="20"/>
                <w:szCs w:val="24"/>
              </w:rPr>
              <w:t xml:space="preserve"> novembre 202</w:t>
            </w:r>
            <w:r w:rsidR="003C41E7">
              <w:rPr>
                <w:sz w:val="20"/>
                <w:szCs w:val="24"/>
              </w:rPr>
              <w:t>7</w:t>
            </w:r>
            <w:r w:rsidRPr="001627E0">
              <w:rPr>
                <w:sz w:val="20"/>
                <w:szCs w:val="24"/>
              </w:rPr>
              <w:t xml:space="preserve"> au 30 octobre 202</w:t>
            </w:r>
            <w:r w:rsidR="003C41E7">
              <w:rPr>
                <w:sz w:val="20"/>
                <w:szCs w:val="24"/>
              </w:rPr>
              <w:t>8</w:t>
            </w:r>
            <w:r w:rsidRPr="001627E0">
              <w:rPr>
                <w:sz w:val="20"/>
                <w:szCs w:val="24"/>
              </w:rPr>
              <w:t>, si renouvellement</w:t>
            </w:r>
          </w:p>
          <w:p w14:paraId="4A7E9B77" w14:textId="6E02962F" w:rsidR="001627E0" w:rsidRPr="001627E0" w:rsidRDefault="001627E0" w:rsidP="001627E0">
            <w:pPr>
              <w:pStyle w:val="Paragraphedeliste"/>
              <w:ind w:left="0"/>
              <w:jc w:val="both"/>
              <w:rPr>
                <w:b/>
                <w:sz w:val="20"/>
                <w:szCs w:val="24"/>
              </w:rPr>
            </w:pPr>
          </w:p>
        </w:tc>
      </w:tr>
    </w:tbl>
    <w:p w14:paraId="378FB508" w14:textId="07DB4E97" w:rsidR="00E512B1" w:rsidRDefault="001627E0" w:rsidP="001627E0">
      <w:pPr>
        <w:pStyle w:val="cdc1"/>
        <w:outlineLvl w:val="0"/>
      </w:pPr>
      <w:bookmarkStart w:id="5" w:name="_Toc157695634"/>
      <w:r>
        <w:t>CALENDRIER</w:t>
      </w:r>
      <w:bookmarkEnd w:id="5"/>
    </w:p>
    <w:p w14:paraId="0362ADDB" w14:textId="77777777" w:rsidR="001627E0" w:rsidRDefault="001627E0" w:rsidP="00D5158F">
      <w:pPr>
        <w:jc w:val="both"/>
      </w:pPr>
    </w:p>
    <w:p w14:paraId="4B1D9B64" w14:textId="3EBF1084" w:rsidR="00E512B1" w:rsidRDefault="00E512B1" w:rsidP="00D5158F">
      <w:pPr>
        <w:jc w:val="both"/>
      </w:pPr>
    </w:p>
    <w:p w14:paraId="42E970D1" w14:textId="77777777" w:rsidR="001627E0" w:rsidRDefault="001627E0" w:rsidP="00D5158F">
      <w:pPr>
        <w:jc w:val="both"/>
      </w:pPr>
    </w:p>
    <w:p w14:paraId="671598F9" w14:textId="4BF454C1" w:rsidR="009A2A01" w:rsidRDefault="009A2A01" w:rsidP="00861BC9">
      <w:pPr>
        <w:pStyle w:val="cdc1"/>
        <w:outlineLvl w:val="0"/>
      </w:pPr>
      <w:bookmarkStart w:id="6" w:name="_Toc157695635"/>
      <w:r>
        <w:t>Cas particulier</w:t>
      </w:r>
      <w:bookmarkEnd w:id="6"/>
    </w:p>
    <w:p w14:paraId="6D54E7D2" w14:textId="384767FF" w:rsidR="003E30E0" w:rsidRPr="001627E0" w:rsidRDefault="003E30E0" w:rsidP="005A0B5D">
      <w:pPr>
        <w:pStyle w:val="Paragraphedeliste"/>
        <w:numPr>
          <w:ilvl w:val="1"/>
          <w:numId w:val="13"/>
        </w:numPr>
      </w:pPr>
      <w:r w:rsidRPr="001627E0">
        <w:rPr>
          <w:b/>
          <w:u w:val="single"/>
        </w:rPr>
        <w:t>Remplacement d’un candidat suite à un désistement</w:t>
      </w:r>
    </w:p>
    <w:p w14:paraId="2EF45779" w14:textId="3B1030B5" w:rsidR="00D5158F" w:rsidRPr="00173AD7" w:rsidRDefault="00D5158F" w:rsidP="005A0B5D">
      <w:pPr>
        <w:jc w:val="both"/>
      </w:pPr>
      <w:r w:rsidRPr="00173AD7">
        <w:t xml:space="preserve">En informer </w:t>
      </w:r>
      <w:r w:rsidRPr="00173AD7">
        <w:rPr>
          <w:u w:val="single"/>
        </w:rPr>
        <w:t>immédiatement</w:t>
      </w:r>
      <w:r w:rsidRPr="00173AD7">
        <w:t xml:space="preserve"> l’ARS.</w:t>
      </w:r>
    </w:p>
    <w:p w14:paraId="56A35F18" w14:textId="77296685" w:rsidR="00D5158F" w:rsidRPr="001627E0" w:rsidRDefault="00D5158F" w:rsidP="005A0B5D">
      <w:pPr>
        <w:jc w:val="both"/>
      </w:pPr>
      <w:r w:rsidRPr="001627E0">
        <w:t xml:space="preserve">Possibilité de proposer dans les meilleurs délais (2 mois maximum), un nouveau candidat. </w:t>
      </w:r>
      <w:r w:rsidR="002F7534">
        <w:t>À</w:t>
      </w:r>
      <w:r w:rsidRPr="001627E0">
        <w:t xml:space="preserve"> ce titre, l’Université devra transmettre à l’ARS pour examen : </w:t>
      </w:r>
    </w:p>
    <w:p w14:paraId="47F9BA96" w14:textId="1315000F" w:rsidR="007C2C04" w:rsidRDefault="00D5158F" w:rsidP="007C2C04">
      <w:pPr>
        <w:pStyle w:val="Paragraphedeliste"/>
        <w:numPr>
          <w:ilvl w:val="2"/>
          <w:numId w:val="13"/>
        </w:numPr>
      </w:pPr>
      <w:r w:rsidRPr="001627E0">
        <w:t xml:space="preserve">Lettre de désistement </w:t>
      </w:r>
      <w:r w:rsidR="007C2C04" w:rsidRPr="001627E0">
        <w:t xml:space="preserve">(n’a pas pris ses fonctions au 1er novembre de l’année en cours) </w:t>
      </w:r>
      <w:r w:rsidRPr="001627E0">
        <w:t>ou de démission de l’ancien AUMG</w:t>
      </w:r>
      <w:r w:rsidR="007C2C04" w:rsidRPr="001627E0">
        <w:t xml:space="preserve"> (a démissionné après sa prise de fonctions au 1er novembre de l’année en cours)</w:t>
      </w:r>
    </w:p>
    <w:p w14:paraId="0EB63160" w14:textId="15975021" w:rsidR="001627E0" w:rsidRPr="001627E0" w:rsidRDefault="001627E0" w:rsidP="001627E0">
      <w:pPr>
        <w:pStyle w:val="Paragraphedeliste"/>
        <w:numPr>
          <w:ilvl w:val="2"/>
          <w:numId w:val="13"/>
        </w:numPr>
      </w:pPr>
      <w:r w:rsidRPr="001627E0">
        <w:t>Nouveau candidat :</w:t>
      </w:r>
    </w:p>
    <w:p w14:paraId="7E90E871" w14:textId="77777777" w:rsidR="001627E0" w:rsidRPr="001627E0" w:rsidRDefault="001627E0" w:rsidP="001627E0">
      <w:pPr>
        <w:pStyle w:val="Paragraphedeliste"/>
        <w:numPr>
          <w:ilvl w:val="0"/>
          <w:numId w:val="21"/>
        </w:numPr>
      </w:pPr>
      <w:r w:rsidRPr="001627E0">
        <w:t xml:space="preserve">Curriculum Vitae </w:t>
      </w:r>
    </w:p>
    <w:p w14:paraId="18323C93" w14:textId="77777777" w:rsidR="001627E0" w:rsidRPr="001627E0" w:rsidRDefault="001627E0" w:rsidP="001627E0">
      <w:pPr>
        <w:pStyle w:val="Paragraphedeliste"/>
        <w:numPr>
          <w:ilvl w:val="0"/>
          <w:numId w:val="21"/>
        </w:numPr>
      </w:pPr>
      <w:r w:rsidRPr="001627E0">
        <w:t xml:space="preserve">Lettre de motivation </w:t>
      </w:r>
    </w:p>
    <w:p w14:paraId="5A4AA140" w14:textId="77777777" w:rsidR="001627E0" w:rsidRPr="001627E0" w:rsidRDefault="001627E0" w:rsidP="001627E0">
      <w:pPr>
        <w:pStyle w:val="Paragraphedeliste"/>
        <w:numPr>
          <w:ilvl w:val="0"/>
          <w:numId w:val="21"/>
        </w:numPr>
      </w:pPr>
      <w:r w:rsidRPr="001627E0">
        <w:lastRenderedPageBreak/>
        <w:t>Inscription à l’ordre impérative à la date de prise de poste</w:t>
      </w:r>
    </w:p>
    <w:p w14:paraId="69C96174" w14:textId="2B5BA5AA" w:rsidR="001627E0" w:rsidRDefault="001627E0" w:rsidP="00173AD7">
      <w:pPr>
        <w:pStyle w:val="Paragraphedeliste"/>
        <w:numPr>
          <w:ilvl w:val="2"/>
          <w:numId w:val="13"/>
        </w:numPr>
      </w:pPr>
      <w:r w:rsidRPr="001627E0">
        <w:t xml:space="preserve">ARS donne son accord ou non sur ce remplacement       </w:t>
      </w:r>
    </w:p>
    <w:p w14:paraId="75EF3DA0" w14:textId="77777777" w:rsidR="00173AD7" w:rsidRPr="001627E0" w:rsidRDefault="00173AD7" w:rsidP="00173AD7">
      <w:pPr>
        <w:pStyle w:val="Paragraphedeliste"/>
      </w:pPr>
    </w:p>
    <w:p w14:paraId="202D7A41" w14:textId="51E90AE5" w:rsidR="003E30E0" w:rsidRPr="001627E0" w:rsidRDefault="003E30E0" w:rsidP="005A0B5D">
      <w:pPr>
        <w:pStyle w:val="Paragraphedeliste"/>
        <w:numPr>
          <w:ilvl w:val="1"/>
          <w:numId w:val="13"/>
        </w:numPr>
        <w:jc w:val="both"/>
      </w:pPr>
      <w:r w:rsidRPr="001627E0">
        <w:rPr>
          <w:b/>
          <w:u w:val="single"/>
        </w:rPr>
        <w:t>Report de prise de fonction du candidat retenu</w:t>
      </w:r>
    </w:p>
    <w:p w14:paraId="7CCB7F0D" w14:textId="77777777" w:rsidR="003E30E0" w:rsidRPr="001627E0" w:rsidRDefault="003E30E0" w:rsidP="005A0B5D">
      <w:pPr>
        <w:spacing w:before="240" w:after="240"/>
        <w:contextualSpacing/>
        <w:jc w:val="both"/>
        <w:rPr>
          <w:rFonts w:ascii="Calibri" w:eastAsia="Calibri" w:hAnsi="Calibri" w:cs="Calibri"/>
          <w:b/>
        </w:rPr>
      </w:pPr>
      <w:r w:rsidRPr="00173AD7">
        <w:rPr>
          <w:rFonts w:ascii="Calibri" w:eastAsia="Calibri" w:hAnsi="Calibri" w:cs="Calibri"/>
        </w:rPr>
        <w:t xml:space="preserve">Informer </w:t>
      </w:r>
      <w:r w:rsidRPr="00173AD7">
        <w:rPr>
          <w:rFonts w:ascii="Calibri" w:eastAsia="Calibri" w:hAnsi="Calibri" w:cs="Calibri"/>
          <w:u w:val="single"/>
        </w:rPr>
        <w:t>immédiatement</w:t>
      </w:r>
      <w:r w:rsidRPr="00173AD7">
        <w:rPr>
          <w:rFonts w:ascii="Calibri" w:eastAsia="Calibri" w:hAnsi="Calibri" w:cs="Calibri"/>
        </w:rPr>
        <w:t xml:space="preserve"> l’ARS des motifs de report de prise de poste, à défaut le financement ne sera pas délégué</w:t>
      </w:r>
      <w:r w:rsidRPr="001627E0">
        <w:rPr>
          <w:rFonts w:ascii="Calibri" w:eastAsia="Calibri" w:hAnsi="Calibri" w:cs="Calibri"/>
          <w:b/>
        </w:rPr>
        <w:t>.</w:t>
      </w:r>
    </w:p>
    <w:p w14:paraId="254A0963" w14:textId="3701A706" w:rsidR="00E512B1" w:rsidRPr="001627E0" w:rsidRDefault="003E30E0" w:rsidP="005A0B5D">
      <w:pPr>
        <w:jc w:val="both"/>
        <w:rPr>
          <w:rFonts w:ascii="Calibri" w:eastAsia="Calibri" w:hAnsi="Calibri" w:cs="Calibri"/>
        </w:rPr>
      </w:pPr>
      <w:r w:rsidRPr="001627E0">
        <w:rPr>
          <w:rFonts w:ascii="Calibri" w:eastAsia="Calibri" w:hAnsi="Calibri" w:cs="Calibri"/>
        </w:rPr>
        <w:t>La prise de poste des AUMG doit se faire le 1</w:t>
      </w:r>
      <w:r w:rsidRPr="001627E0">
        <w:rPr>
          <w:rFonts w:ascii="Calibri" w:eastAsia="Calibri" w:hAnsi="Calibri" w:cs="Calibri"/>
          <w:vertAlign w:val="superscript"/>
        </w:rPr>
        <w:t>er</w:t>
      </w:r>
      <w:r w:rsidRPr="001627E0">
        <w:rPr>
          <w:rFonts w:ascii="Calibri" w:eastAsia="Calibri" w:hAnsi="Calibri" w:cs="Calibri"/>
        </w:rPr>
        <w:t xml:space="preserve"> novembre 2024, et à titre </w:t>
      </w:r>
      <w:r w:rsidRPr="00173AD7">
        <w:rPr>
          <w:rFonts w:ascii="Calibri" w:eastAsia="Calibri" w:hAnsi="Calibri" w:cs="Calibri"/>
          <w:u w:val="single"/>
        </w:rPr>
        <w:t>exceptionnel</w:t>
      </w:r>
      <w:r w:rsidRPr="001627E0">
        <w:rPr>
          <w:rFonts w:ascii="Calibri" w:eastAsia="Calibri" w:hAnsi="Calibri" w:cs="Calibri"/>
          <w:b/>
        </w:rPr>
        <w:t xml:space="preserve"> </w:t>
      </w:r>
      <w:r w:rsidRPr="001627E0">
        <w:rPr>
          <w:rFonts w:ascii="Calibri" w:eastAsia="Calibri" w:hAnsi="Calibri" w:cs="Calibri"/>
        </w:rPr>
        <w:t>courant</w:t>
      </w:r>
      <w:r w:rsidRPr="001627E0">
        <w:t xml:space="preserve"> </w:t>
      </w:r>
      <w:r w:rsidRPr="001627E0">
        <w:rPr>
          <w:rFonts w:ascii="Calibri" w:eastAsia="Calibri" w:hAnsi="Calibri" w:cs="Calibri"/>
        </w:rPr>
        <w:t>décembre</w:t>
      </w:r>
      <w:r w:rsidR="00D5158F" w:rsidRPr="001627E0">
        <w:rPr>
          <w:rFonts w:ascii="Calibri" w:eastAsia="Calibri" w:hAnsi="Calibri" w:cs="Calibri"/>
        </w:rPr>
        <w:t xml:space="preserve"> de l’année en cours</w:t>
      </w:r>
      <w:r w:rsidRPr="001627E0">
        <w:rPr>
          <w:rFonts w:ascii="Calibri" w:eastAsia="Calibri" w:hAnsi="Calibri" w:cs="Calibri"/>
        </w:rPr>
        <w:t xml:space="preserve"> après validation par les services de l’ARS.</w:t>
      </w:r>
      <w:r w:rsidR="00E512B1" w:rsidRPr="001627E0">
        <w:rPr>
          <w:rFonts w:ascii="Calibri" w:eastAsia="Calibri" w:hAnsi="Calibri" w:cs="Calibri"/>
        </w:rPr>
        <w:t xml:space="preserve"> </w:t>
      </w:r>
    </w:p>
    <w:p w14:paraId="3A604906" w14:textId="71CF732E" w:rsidR="003E30E0" w:rsidRPr="001627E0" w:rsidRDefault="00E512B1" w:rsidP="005A0B5D">
      <w:pPr>
        <w:jc w:val="both"/>
        <w:rPr>
          <w:rFonts w:ascii="Calibri" w:eastAsia="Calibri" w:hAnsi="Calibri" w:cs="Calibri"/>
        </w:rPr>
      </w:pPr>
      <w:r w:rsidRPr="00173AD7">
        <w:rPr>
          <w:rFonts w:ascii="Calibri" w:eastAsia="Calibri" w:hAnsi="Calibri" w:cs="Calibri"/>
        </w:rPr>
        <w:t xml:space="preserve">Toute prise de poste qui aura lieu après le mois de Novembre 2024 entraînera un financement au prorata de la prise de fonction. </w:t>
      </w:r>
      <w:r w:rsidRPr="001627E0">
        <w:rPr>
          <w:rFonts w:ascii="Calibri" w:eastAsia="Calibri" w:hAnsi="Calibri" w:cs="Calibri"/>
        </w:rPr>
        <w:t>(Sauf si le report de prise de fonction a pour origine une cause médicale).</w:t>
      </w:r>
    </w:p>
    <w:p w14:paraId="62064EC9" w14:textId="6DF3E355" w:rsidR="00D5158F" w:rsidRPr="001627E0" w:rsidRDefault="00E512B1" w:rsidP="005A0B5D">
      <w:pPr>
        <w:jc w:val="both"/>
        <w:rPr>
          <w:rFonts w:ascii="Calibri" w:eastAsia="Calibri" w:hAnsi="Calibri" w:cs="Calibri"/>
          <w:b/>
        </w:rPr>
      </w:pPr>
      <w:r w:rsidRPr="001627E0">
        <w:rPr>
          <w:rFonts w:ascii="Calibri" w:eastAsia="Calibri" w:hAnsi="Calibri" w:cs="Calibri"/>
        </w:rPr>
        <w:t>Congé maternité :</w:t>
      </w:r>
      <w:r w:rsidRPr="001627E0">
        <w:t xml:space="preserve"> </w:t>
      </w:r>
      <w:r w:rsidRPr="00173AD7">
        <w:rPr>
          <w:rFonts w:ascii="Calibri" w:eastAsia="Calibri" w:hAnsi="Calibri" w:cs="Calibri"/>
        </w:rPr>
        <w:t xml:space="preserve">Le financement est assuré pendant toute la durée du congé maternité mais </w:t>
      </w:r>
      <w:r w:rsidR="00D5158F" w:rsidRPr="00173AD7">
        <w:rPr>
          <w:rFonts w:ascii="Calibri" w:eastAsia="Calibri" w:hAnsi="Calibri" w:cs="Calibri"/>
        </w:rPr>
        <w:t>ne donne pas lieu à une prolongation de la convention.</w:t>
      </w:r>
    </w:p>
    <w:p w14:paraId="00612974" w14:textId="265E92E1" w:rsidR="00FC0316" w:rsidRPr="001627E0" w:rsidRDefault="009A2A01" w:rsidP="00FC0316">
      <w:pPr>
        <w:pStyle w:val="cdc1"/>
        <w:outlineLvl w:val="0"/>
        <w:rPr>
          <w:sz w:val="22"/>
        </w:rPr>
      </w:pPr>
      <w:bookmarkStart w:id="7" w:name="_Toc157695636"/>
      <w:r w:rsidRPr="001627E0">
        <w:rPr>
          <w:sz w:val="22"/>
        </w:rPr>
        <w:t>Conctact ars</w:t>
      </w:r>
      <w:bookmarkEnd w:id="7"/>
    </w:p>
    <w:p w14:paraId="4DC17CCE" w14:textId="52C320C4" w:rsidR="00FC0316" w:rsidRDefault="00526407" w:rsidP="007B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both"/>
        <w:rPr>
          <w:rFonts w:cstheme="minorHAnsi"/>
        </w:rPr>
      </w:pPr>
      <w:r w:rsidRPr="001627E0">
        <w:rPr>
          <w:rFonts w:cstheme="minorHAnsi"/>
          <w:u w:val="single"/>
        </w:rPr>
        <w:t>Dépôt dossier </w:t>
      </w:r>
      <w:r w:rsidRPr="001627E0">
        <w:rPr>
          <w:rFonts w:cstheme="minorHAnsi"/>
        </w:rPr>
        <w:t xml:space="preserve">: </w:t>
      </w:r>
      <w:r w:rsidR="00FC0316" w:rsidRPr="001627E0">
        <w:rPr>
          <w:rFonts w:cstheme="minorHAnsi"/>
        </w:rPr>
        <w:t>Uniquement en ligne par l’université :</w:t>
      </w:r>
      <w:r w:rsidR="0033771D">
        <w:rPr>
          <w:rFonts w:cstheme="minorHAnsi"/>
        </w:rPr>
        <w:t xml:space="preserve"> </w:t>
      </w:r>
    </w:p>
    <w:p w14:paraId="22CCD5AC" w14:textId="7AAC00CF" w:rsidR="0033771D" w:rsidRDefault="0033771D" w:rsidP="007B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both"/>
        <w:rPr>
          <w:rFonts w:cstheme="minorHAnsi"/>
        </w:rPr>
      </w:pPr>
    </w:p>
    <w:p w14:paraId="33A80960" w14:textId="14BC8DB0" w:rsidR="0033771D" w:rsidRPr="001627E0" w:rsidRDefault="0033771D" w:rsidP="007B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both"/>
        <w:rPr>
          <w:rFonts w:cstheme="minorHAnsi"/>
          <w:b/>
        </w:rPr>
      </w:pPr>
      <w:hyperlink r:id="rId8" w:history="1">
        <w:r w:rsidRPr="0033771D">
          <w:rPr>
            <w:rStyle w:val="Lienhypertexte"/>
            <w:rFonts w:asciiTheme="minorHAnsi" w:hAnsiTheme="minorHAnsi" w:cstheme="minorHAnsi"/>
            <w:b/>
            <w:sz w:val="22"/>
            <w:szCs w:val="22"/>
          </w:rPr>
          <w:t>https://demat.social.gouv.fr/commencer/arsif-appel-a-candidatures-pour-les-postes-partages-aumg</w:t>
        </w:r>
      </w:hyperlink>
    </w:p>
    <w:p w14:paraId="12DDC67A" w14:textId="77777777" w:rsidR="00FC0316" w:rsidRPr="001627E0" w:rsidRDefault="00FC0316" w:rsidP="007B1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jc w:val="both"/>
        <w:rPr>
          <w:rFonts w:cstheme="minorHAnsi"/>
        </w:rPr>
      </w:pPr>
    </w:p>
    <w:p w14:paraId="5BD5624C" w14:textId="77777777" w:rsidR="001627E0" w:rsidRPr="001627E0" w:rsidRDefault="001627E0" w:rsidP="00FC0316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89C4894" w14:textId="691B6A99" w:rsidR="00FC0316" w:rsidRPr="001627E0" w:rsidRDefault="00FC0316" w:rsidP="00FC0316">
      <w:pPr>
        <w:spacing w:after="0" w:line="240" w:lineRule="auto"/>
        <w:jc w:val="both"/>
        <w:rPr>
          <w:rFonts w:cstheme="minorHAnsi"/>
          <w:b/>
          <w:u w:val="single"/>
        </w:rPr>
      </w:pPr>
      <w:r w:rsidRPr="001627E0">
        <w:rPr>
          <w:rFonts w:cstheme="minorHAnsi"/>
          <w:b/>
          <w:u w:val="single"/>
        </w:rPr>
        <w:t xml:space="preserve">PIECES A TELECHARGER  </w:t>
      </w:r>
      <w:bookmarkStart w:id="8" w:name="_GoBack"/>
      <w:bookmarkEnd w:id="8"/>
    </w:p>
    <w:p w14:paraId="6E9917ED" w14:textId="77777777" w:rsidR="00FC0316" w:rsidRPr="00173AD7" w:rsidRDefault="00FC0316" w:rsidP="00FC0316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173AD7">
        <w:rPr>
          <w:rFonts w:cstheme="minorHAnsi"/>
        </w:rPr>
        <w:t>Cahier des charges</w:t>
      </w:r>
    </w:p>
    <w:p w14:paraId="0237C7DA" w14:textId="4BD87805" w:rsidR="00FC0316" w:rsidRPr="00173AD7" w:rsidRDefault="00FC0316" w:rsidP="00FC0316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173AD7">
        <w:rPr>
          <w:rFonts w:cstheme="minorHAnsi"/>
        </w:rPr>
        <w:t>Mode opératoire pour déposer en ligne une candidature</w:t>
      </w:r>
    </w:p>
    <w:p w14:paraId="4A813806" w14:textId="77777777" w:rsidR="001627E0" w:rsidRPr="001627E0" w:rsidRDefault="001627E0" w:rsidP="001627E0">
      <w:pPr>
        <w:pStyle w:val="Paragraphedeliste"/>
        <w:spacing w:after="0" w:line="240" w:lineRule="auto"/>
        <w:jc w:val="both"/>
        <w:rPr>
          <w:rFonts w:cstheme="minorHAnsi"/>
          <w:b/>
        </w:rPr>
      </w:pPr>
    </w:p>
    <w:p w14:paraId="33AC0462" w14:textId="10747D60" w:rsidR="00B573D2" w:rsidRDefault="00FC0316" w:rsidP="00FC0316">
      <w:pPr>
        <w:jc w:val="both"/>
        <w:rPr>
          <w:rFonts w:cstheme="minorHAnsi"/>
          <w:b/>
        </w:rPr>
      </w:pPr>
      <w:r w:rsidRPr="001627E0">
        <w:rPr>
          <w:rFonts w:cstheme="minorHAnsi"/>
          <w:b/>
          <w:u w:val="single"/>
        </w:rPr>
        <w:t>CONTACT ARS</w:t>
      </w:r>
      <w:r w:rsidRPr="001627E0">
        <w:rPr>
          <w:rFonts w:cstheme="minorHAnsi"/>
          <w:b/>
        </w:rPr>
        <w:t xml:space="preserve"> : </w:t>
      </w:r>
      <w:hyperlink r:id="rId9" w:history="1">
        <w:r w:rsidR="00D54AFF" w:rsidRPr="0055230C">
          <w:rPr>
            <w:rStyle w:val="Lienhypertexte"/>
            <w:rFonts w:asciiTheme="minorHAnsi" w:hAnsiTheme="minorHAnsi" w:cstheme="minorHAnsi"/>
            <w:b/>
            <w:sz w:val="22"/>
            <w:szCs w:val="22"/>
          </w:rPr>
          <w:t>ars-idf-dos-mgs@ars.sante.fr</w:t>
        </w:r>
      </w:hyperlink>
    </w:p>
    <w:p w14:paraId="044FFA2D" w14:textId="77777777" w:rsidR="00D54AFF" w:rsidRPr="001627E0" w:rsidRDefault="00D54AFF" w:rsidP="00FC0316">
      <w:pPr>
        <w:jc w:val="both"/>
        <w:rPr>
          <w:b/>
          <w:u w:val="single"/>
        </w:rPr>
      </w:pPr>
    </w:p>
    <w:p w14:paraId="22BD992B" w14:textId="6F1FB0FB" w:rsidR="002333AF" w:rsidRPr="00EF0F65" w:rsidRDefault="002333AF" w:rsidP="002333AF">
      <w:pPr>
        <w:spacing w:after="0" w:line="240" w:lineRule="auto"/>
        <w:jc w:val="both"/>
      </w:pPr>
    </w:p>
    <w:sectPr w:rsidR="002333AF" w:rsidRPr="00EF0F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5CC5F2" w16cid:durableId="21A0B4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CA90" w14:textId="77777777" w:rsidR="00E3196B" w:rsidRDefault="00E3196B" w:rsidP="00457957">
      <w:pPr>
        <w:spacing w:after="0" w:line="240" w:lineRule="auto"/>
      </w:pPr>
      <w:r>
        <w:separator/>
      </w:r>
    </w:p>
  </w:endnote>
  <w:endnote w:type="continuationSeparator" w:id="0">
    <w:p w14:paraId="15EF1FCF" w14:textId="77777777" w:rsidR="00E3196B" w:rsidRDefault="00E3196B" w:rsidP="0045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  <w:sz w:val="24"/>
      </w:rPr>
      <w:id w:val="-675796636"/>
      <w:docPartObj>
        <w:docPartGallery w:val="Page Numbers (Bottom of Page)"/>
        <w:docPartUnique/>
      </w:docPartObj>
    </w:sdtPr>
    <w:sdtEndPr>
      <w:rPr>
        <w:b/>
        <w:color w:val="44546A"/>
      </w:rPr>
    </w:sdtEndPr>
    <w:sdtContent>
      <w:sdt>
        <w:sdtPr>
          <w:rPr>
            <w:rFonts w:ascii="Calibri" w:eastAsia="Calibri" w:hAnsi="Calibri" w:cs="Times New Roman"/>
            <w:b/>
            <w:color w:val="44546A"/>
            <w:sz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40987D" w14:textId="2BAA1A00" w:rsidR="00A22A15" w:rsidRPr="00A22A15" w:rsidRDefault="00A22A15" w:rsidP="00A22A1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Times New Roman"/>
                <w:b/>
                <w:color w:val="44546A"/>
                <w:sz w:val="24"/>
              </w:rPr>
            </w:pPr>
            <w:r w:rsidRPr="00A22A15">
              <w:rPr>
                <w:rFonts w:ascii="Calibri" w:eastAsia="Calibri" w:hAnsi="Calibri" w:cs="Times New Roman"/>
                <w:b/>
                <w:color w:val="44546A"/>
                <w:sz w:val="24"/>
              </w:rPr>
              <w:t xml:space="preserve">ARS IDF DOS – Pôle Ressources Humaines en Santé – Département Personnel Médical </w:t>
            </w:r>
            <w:r w:rsidRPr="00A22A15">
              <w:rPr>
                <w:rFonts w:ascii="Calibri" w:eastAsia="Calibri" w:hAnsi="Calibri" w:cs="Times New Roman"/>
                <w:b/>
                <w:color w:val="44546A"/>
                <w:sz w:val="24"/>
              </w:rPr>
              <w:tab/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begin"/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instrText>PAGE</w:instrText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separate"/>
            </w:r>
            <w:r w:rsidR="0033771D">
              <w:rPr>
                <w:rFonts w:ascii="Calibri" w:eastAsia="Calibri" w:hAnsi="Calibri" w:cs="Times New Roman"/>
                <w:b/>
                <w:bCs/>
                <w:noProof/>
                <w:color w:val="44546A"/>
                <w:sz w:val="20"/>
                <w:szCs w:val="20"/>
              </w:rPr>
              <w:t>8</w:t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end"/>
            </w:r>
            <w:r w:rsidRPr="00A22A15">
              <w:rPr>
                <w:rFonts w:ascii="Calibri" w:eastAsia="Calibri" w:hAnsi="Calibri" w:cs="Times New Roman"/>
                <w:b/>
                <w:color w:val="44546A"/>
                <w:sz w:val="20"/>
                <w:szCs w:val="20"/>
              </w:rPr>
              <w:t>/</w:t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begin"/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instrText>NUMPAGES</w:instrText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separate"/>
            </w:r>
            <w:r w:rsidR="0033771D">
              <w:rPr>
                <w:rFonts w:ascii="Calibri" w:eastAsia="Calibri" w:hAnsi="Calibri" w:cs="Times New Roman"/>
                <w:b/>
                <w:bCs/>
                <w:noProof/>
                <w:color w:val="44546A"/>
                <w:sz w:val="20"/>
                <w:szCs w:val="20"/>
              </w:rPr>
              <w:t>8</w:t>
            </w:r>
            <w:r w:rsidRPr="00A22A15">
              <w:rPr>
                <w:rFonts w:ascii="Calibri" w:eastAsia="Calibri" w:hAnsi="Calibri" w:cs="Times New Roman"/>
                <w:b/>
                <w:bCs/>
                <w:color w:val="44546A"/>
                <w:sz w:val="20"/>
                <w:szCs w:val="20"/>
              </w:rPr>
              <w:fldChar w:fldCharType="end"/>
            </w:r>
          </w:p>
        </w:sdtContent>
      </w:sdt>
    </w:sdtContent>
  </w:sdt>
  <w:p w14:paraId="3A26AEC1" w14:textId="77777777" w:rsidR="00A22A15" w:rsidRPr="00A22A15" w:rsidRDefault="00A22A15" w:rsidP="00A22A1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/>
        <w:sz w:val="16"/>
        <w:szCs w:val="16"/>
      </w:rPr>
    </w:pPr>
  </w:p>
  <w:p w14:paraId="6AC56ECE" w14:textId="1298742E" w:rsidR="00457957" w:rsidRDefault="00A22A15">
    <w:pPr>
      <w:pStyle w:val="Pieddepag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853D9" w14:textId="77777777" w:rsidR="00E3196B" w:rsidRDefault="00E3196B" w:rsidP="00457957">
      <w:pPr>
        <w:spacing w:after="0" w:line="240" w:lineRule="auto"/>
      </w:pPr>
      <w:r>
        <w:separator/>
      </w:r>
    </w:p>
  </w:footnote>
  <w:footnote w:type="continuationSeparator" w:id="0">
    <w:p w14:paraId="6C951BE8" w14:textId="77777777" w:rsidR="00E3196B" w:rsidRDefault="00E3196B" w:rsidP="00457957">
      <w:pPr>
        <w:spacing w:after="0" w:line="240" w:lineRule="auto"/>
      </w:pPr>
      <w:r>
        <w:continuationSeparator/>
      </w:r>
    </w:p>
  </w:footnote>
  <w:footnote w:id="1">
    <w:p w14:paraId="32208587" w14:textId="4A59D347" w:rsidR="00603110" w:rsidRDefault="00603110" w:rsidP="00603110">
      <w:pPr>
        <w:pStyle w:val="Notedebasdepage"/>
      </w:pPr>
      <w:r>
        <w:rPr>
          <w:rStyle w:val="Appelnotedebasdep"/>
        </w:rPr>
        <w:footnoteRef/>
      </w:r>
      <w:r>
        <w:t xml:space="preserve"> Cf. </w:t>
      </w:r>
      <w:r w:rsidR="00661A0E" w:rsidRPr="00661A0E">
        <w:t>Arrêté du 22 mars 2023 modifiant l'arrêté du 21 octobre 2010 relatif à la rémunération des chefs de clinique des universités de médecine générale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8FFD" w14:textId="06B17DFD" w:rsidR="00DC750D" w:rsidRDefault="00A5148D">
    <w:pPr>
      <w:pStyle w:val="En-tte"/>
    </w:pPr>
    <w:r>
      <w:rPr>
        <w:noProof/>
        <w:lang w:eastAsia="fr-FR"/>
      </w:rPr>
      <w:drawing>
        <wp:inline distT="0" distB="0" distL="0" distR="0" wp14:anchorId="682FBDD6" wp14:editId="7C83A600">
          <wp:extent cx="1310640" cy="11887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3B42B6">
      <w:rPr>
        <w:noProof/>
        <w:lang w:eastAsia="fr-FR"/>
      </w:rPr>
      <w:drawing>
        <wp:inline distT="0" distB="0" distL="0" distR="0" wp14:anchorId="623B18BE" wp14:editId="103115F5">
          <wp:extent cx="1362710" cy="784860"/>
          <wp:effectExtent l="0" t="0" r="8890" b="0"/>
          <wp:docPr id="6" name="Image 6" descr="I:\MA_DIRECTION\DOSMS\RH_EN_SANTÉ\PARCOURS_PROFESSIONNELS\Documents partagés\Modèles type\ARS_LOGOS_id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A_DIRECTION\DOSMS\RH_EN_SANTÉ\PARCOURS_PROFESSIONNELS\Documents partagés\Modèles type\ARS_LOGOS_id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94587A2E"/>
    <w:lvl w:ilvl="0" w:tplc="040C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403A4348"/>
    <w:lvl w:ilvl="0" w:tplc="FFFFFFFF">
      <w:start w:val="1"/>
      <w:numFmt w:val="bullet"/>
      <w:lvlText w:val=""/>
      <w:lvlJc w:val="left"/>
    </w:lvl>
    <w:lvl w:ilvl="1" w:tplc="040C0009">
      <w:start w:val="1"/>
      <w:numFmt w:val="bullet"/>
      <w:lvlText w:val=""/>
      <w:lvlJc w:val="left"/>
      <w:rPr>
        <w:rFonts w:ascii="Wingdings" w:hAnsi="Wingdings" w:hint="default"/>
      </w:rPr>
    </w:lvl>
    <w:lvl w:ilvl="2" w:tplc="FFFFFFFF">
      <w:start w:val="1"/>
      <w:numFmt w:val="bullet"/>
      <w:lvlText w:val="-"/>
      <w:lvlJc w:val="left"/>
    </w:lvl>
    <w:lvl w:ilvl="3" w:tplc="FFFFFFFF">
      <w:start w:val="1"/>
      <w:numFmt w:val="decimal"/>
      <w:lvlText w:val="%4."/>
      <w:lvlJc w:val="left"/>
    </w:lvl>
    <w:lvl w:ilvl="4" w:tplc="040C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7142D3"/>
    <w:multiLevelType w:val="hybridMultilevel"/>
    <w:tmpl w:val="364A35F0"/>
    <w:lvl w:ilvl="0" w:tplc="A1E08050">
      <w:start w:val="1"/>
      <w:numFmt w:val="bullet"/>
      <w:lvlText w:val="-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ADC010A6">
      <w:start w:val="1"/>
      <w:numFmt w:val="bullet"/>
      <w:lvlText w:val=""/>
      <w:lvlJc w:val="left"/>
    </w:lvl>
    <w:lvl w:ilvl="3" w:tplc="24149C64">
      <w:start w:val="1"/>
      <w:numFmt w:val="bullet"/>
      <w:lvlText w:val=""/>
      <w:lvlJc w:val="left"/>
    </w:lvl>
    <w:lvl w:ilvl="4" w:tplc="509621D6">
      <w:start w:val="1"/>
      <w:numFmt w:val="bullet"/>
      <w:lvlText w:val=""/>
      <w:lvlJc w:val="left"/>
    </w:lvl>
    <w:lvl w:ilvl="5" w:tplc="7924E462">
      <w:start w:val="1"/>
      <w:numFmt w:val="bullet"/>
      <w:lvlText w:val=""/>
      <w:lvlJc w:val="left"/>
    </w:lvl>
    <w:lvl w:ilvl="6" w:tplc="1262A694">
      <w:start w:val="1"/>
      <w:numFmt w:val="bullet"/>
      <w:lvlText w:val=""/>
      <w:lvlJc w:val="left"/>
    </w:lvl>
    <w:lvl w:ilvl="7" w:tplc="2D0EF11A">
      <w:start w:val="1"/>
      <w:numFmt w:val="bullet"/>
      <w:lvlText w:val=""/>
      <w:lvlJc w:val="left"/>
    </w:lvl>
    <w:lvl w:ilvl="8" w:tplc="238E51F2">
      <w:start w:val="1"/>
      <w:numFmt w:val="bullet"/>
      <w:lvlText w:val=""/>
      <w:lvlJc w:val="left"/>
    </w:lvl>
  </w:abstractNum>
  <w:abstractNum w:abstractNumId="3" w15:restartNumberingAfterBreak="0">
    <w:nsid w:val="04DD2FBA"/>
    <w:multiLevelType w:val="hybridMultilevel"/>
    <w:tmpl w:val="B10CB846"/>
    <w:lvl w:ilvl="0" w:tplc="6D221172">
      <w:start w:val="20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984"/>
    <w:multiLevelType w:val="hybridMultilevel"/>
    <w:tmpl w:val="4B3A7228"/>
    <w:lvl w:ilvl="0" w:tplc="FFFFFFFF">
      <w:start w:val="1"/>
      <w:numFmt w:val="bullet"/>
      <w:lvlText w:val="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-"/>
      <w:lvlJc w:val="left"/>
    </w:lvl>
    <w:lvl w:ilvl="3" w:tplc="FFFFFFFF">
      <w:start w:val="1"/>
      <w:numFmt w:val="decimal"/>
      <w:lvlText w:val="%4."/>
      <w:lvlJc w:val="left"/>
    </w:lvl>
    <w:lvl w:ilvl="4" w:tplc="040C0001">
      <w:start w:val="1"/>
      <w:numFmt w:val="bullet"/>
      <w:lvlText w:val=""/>
      <w:lvlJc w:val="left"/>
      <w:rPr>
        <w:rFonts w:ascii="Symbol" w:hAnsi="Symbol" w:hint="defaul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CA12692"/>
    <w:multiLevelType w:val="hybridMultilevel"/>
    <w:tmpl w:val="B9F0D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34B3"/>
    <w:multiLevelType w:val="hybridMultilevel"/>
    <w:tmpl w:val="EB2A6FC6"/>
    <w:lvl w:ilvl="0" w:tplc="080C0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9A0"/>
    <w:multiLevelType w:val="hybridMultilevel"/>
    <w:tmpl w:val="01683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617C"/>
    <w:multiLevelType w:val="hybridMultilevel"/>
    <w:tmpl w:val="89200B00"/>
    <w:lvl w:ilvl="0" w:tplc="7898EF0E">
      <w:start w:val="1"/>
      <w:numFmt w:val="upperRoman"/>
      <w:pStyle w:val="cdc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C43FF"/>
    <w:multiLevelType w:val="hybridMultilevel"/>
    <w:tmpl w:val="8AA67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30F4"/>
    <w:multiLevelType w:val="hybridMultilevel"/>
    <w:tmpl w:val="9DD446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64315F"/>
    <w:multiLevelType w:val="hybridMultilevel"/>
    <w:tmpl w:val="8FD42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60E"/>
    <w:multiLevelType w:val="hybridMultilevel"/>
    <w:tmpl w:val="A6EC2604"/>
    <w:lvl w:ilvl="0" w:tplc="040C0015">
      <w:start w:val="1"/>
      <w:numFmt w:val="upperLetter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37F87231"/>
    <w:multiLevelType w:val="hybridMultilevel"/>
    <w:tmpl w:val="33883070"/>
    <w:lvl w:ilvl="0" w:tplc="8458886C">
      <w:start w:val="202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E4D19"/>
    <w:multiLevelType w:val="hybridMultilevel"/>
    <w:tmpl w:val="01C2C0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1332B"/>
    <w:multiLevelType w:val="hybridMultilevel"/>
    <w:tmpl w:val="7AA0E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761AA"/>
    <w:multiLevelType w:val="hybridMultilevel"/>
    <w:tmpl w:val="2C5897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F0148"/>
    <w:multiLevelType w:val="hybridMultilevel"/>
    <w:tmpl w:val="BCFCB1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7F33B6"/>
    <w:multiLevelType w:val="hybridMultilevel"/>
    <w:tmpl w:val="F4FE4AA6"/>
    <w:lvl w:ilvl="0" w:tplc="915E6D7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316E"/>
    <w:multiLevelType w:val="hybridMultilevel"/>
    <w:tmpl w:val="2070D3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E079CA"/>
    <w:multiLevelType w:val="hybridMultilevel"/>
    <w:tmpl w:val="06263696"/>
    <w:lvl w:ilvl="0" w:tplc="27BA8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E1F1B"/>
    <w:multiLevelType w:val="hybridMultilevel"/>
    <w:tmpl w:val="572A6A68"/>
    <w:lvl w:ilvl="0" w:tplc="4D0EAB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D51ED"/>
    <w:multiLevelType w:val="hybridMultilevel"/>
    <w:tmpl w:val="4CCED8FE"/>
    <w:lvl w:ilvl="0" w:tplc="906AAAAE">
      <w:start w:val="2023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F3947"/>
    <w:multiLevelType w:val="hybridMultilevel"/>
    <w:tmpl w:val="1B389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C2F98"/>
    <w:multiLevelType w:val="hybridMultilevel"/>
    <w:tmpl w:val="49CC65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2138EC"/>
    <w:multiLevelType w:val="hybridMultilevel"/>
    <w:tmpl w:val="D6925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B3775"/>
    <w:multiLevelType w:val="hybridMultilevel"/>
    <w:tmpl w:val="16C86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3DA3"/>
    <w:multiLevelType w:val="hybridMultilevel"/>
    <w:tmpl w:val="6CA2E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447EF"/>
    <w:multiLevelType w:val="hybridMultilevel"/>
    <w:tmpl w:val="C6B24474"/>
    <w:lvl w:ilvl="0" w:tplc="080C0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2404A"/>
    <w:multiLevelType w:val="hybridMultilevel"/>
    <w:tmpl w:val="7EB2F198"/>
    <w:lvl w:ilvl="0" w:tplc="E0D852C0">
      <w:numFmt w:val="bullet"/>
      <w:lvlText w:val="-"/>
      <w:lvlJc w:val="left"/>
      <w:pPr>
        <w:ind w:left="15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77F65E92"/>
    <w:multiLevelType w:val="hybridMultilevel"/>
    <w:tmpl w:val="AB06AF8A"/>
    <w:lvl w:ilvl="0" w:tplc="080C0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3"/>
  </w:num>
  <w:num w:numId="5">
    <w:abstractNumId w:val="29"/>
  </w:num>
  <w:num w:numId="6">
    <w:abstractNumId w:val="11"/>
  </w:num>
  <w:num w:numId="7">
    <w:abstractNumId w:val="17"/>
  </w:num>
  <w:num w:numId="8">
    <w:abstractNumId w:val="20"/>
  </w:num>
  <w:num w:numId="9">
    <w:abstractNumId w:val="26"/>
  </w:num>
  <w:num w:numId="10">
    <w:abstractNumId w:val="22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4"/>
  </w:num>
  <w:num w:numId="16">
    <w:abstractNumId w:val="8"/>
  </w:num>
  <w:num w:numId="17">
    <w:abstractNumId w:val="27"/>
  </w:num>
  <w:num w:numId="18">
    <w:abstractNumId w:val="23"/>
  </w:num>
  <w:num w:numId="19">
    <w:abstractNumId w:val="18"/>
  </w:num>
  <w:num w:numId="20">
    <w:abstractNumId w:val="21"/>
  </w:num>
  <w:num w:numId="21">
    <w:abstractNumId w:val="10"/>
  </w:num>
  <w:num w:numId="22">
    <w:abstractNumId w:val="9"/>
  </w:num>
  <w:num w:numId="23">
    <w:abstractNumId w:val="30"/>
  </w:num>
  <w:num w:numId="24">
    <w:abstractNumId w:val="24"/>
  </w:num>
  <w:num w:numId="25">
    <w:abstractNumId w:val="19"/>
  </w:num>
  <w:num w:numId="26">
    <w:abstractNumId w:val="28"/>
  </w:num>
  <w:num w:numId="27">
    <w:abstractNumId w:val="14"/>
  </w:num>
  <w:num w:numId="28">
    <w:abstractNumId w:val="6"/>
  </w:num>
  <w:num w:numId="29">
    <w:abstractNumId w:val="12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51"/>
    <w:rsid w:val="00003167"/>
    <w:rsid w:val="00011CF0"/>
    <w:rsid w:val="0001792B"/>
    <w:rsid w:val="00021900"/>
    <w:rsid w:val="00034E20"/>
    <w:rsid w:val="0005682D"/>
    <w:rsid w:val="00060358"/>
    <w:rsid w:val="00060658"/>
    <w:rsid w:val="00087B2F"/>
    <w:rsid w:val="000B4934"/>
    <w:rsid w:val="000C26F2"/>
    <w:rsid w:val="000C4CFA"/>
    <w:rsid w:val="000C568F"/>
    <w:rsid w:val="000C6451"/>
    <w:rsid w:val="000D07E8"/>
    <w:rsid w:val="000E437A"/>
    <w:rsid w:val="0010124F"/>
    <w:rsid w:val="00106108"/>
    <w:rsid w:val="00110E7D"/>
    <w:rsid w:val="0011228D"/>
    <w:rsid w:val="00126455"/>
    <w:rsid w:val="001516FE"/>
    <w:rsid w:val="00157619"/>
    <w:rsid w:val="001576CB"/>
    <w:rsid w:val="001627E0"/>
    <w:rsid w:val="00172A0A"/>
    <w:rsid w:val="00173AD7"/>
    <w:rsid w:val="0017489B"/>
    <w:rsid w:val="001753B5"/>
    <w:rsid w:val="001824FC"/>
    <w:rsid w:val="00185870"/>
    <w:rsid w:val="00191899"/>
    <w:rsid w:val="00197635"/>
    <w:rsid w:val="001B1484"/>
    <w:rsid w:val="001C14E8"/>
    <w:rsid w:val="001C68F0"/>
    <w:rsid w:val="001D7ECA"/>
    <w:rsid w:val="001E014E"/>
    <w:rsid w:val="001E69B5"/>
    <w:rsid w:val="001F0001"/>
    <w:rsid w:val="001F4C40"/>
    <w:rsid w:val="002033ED"/>
    <w:rsid w:val="002333AF"/>
    <w:rsid w:val="00237D72"/>
    <w:rsid w:val="00242E01"/>
    <w:rsid w:val="002449AB"/>
    <w:rsid w:val="002517C4"/>
    <w:rsid w:val="00266A39"/>
    <w:rsid w:val="002707D0"/>
    <w:rsid w:val="002B1372"/>
    <w:rsid w:val="002C1831"/>
    <w:rsid w:val="002C7633"/>
    <w:rsid w:val="002D7FF3"/>
    <w:rsid w:val="002F11B7"/>
    <w:rsid w:val="002F4866"/>
    <w:rsid w:val="002F6079"/>
    <w:rsid w:val="002F6477"/>
    <w:rsid w:val="002F7534"/>
    <w:rsid w:val="003176EB"/>
    <w:rsid w:val="00321CA2"/>
    <w:rsid w:val="00325EC4"/>
    <w:rsid w:val="0033771D"/>
    <w:rsid w:val="00355637"/>
    <w:rsid w:val="00357E9A"/>
    <w:rsid w:val="00360870"/>
    <w:rsid w:val="00373F6D"/>
    <w:rsid w:val="00380335"/>
    <w:rsid w:val="003A0104"/>
    <w:rsid w:val="003A3EB6"/>
    <w:rsid w:val="003B42B6"/>
    <w:rsid w:val="003C250F"/>
    <w:rsid w:val="003C294A"/>
    <w:rsid w:val="003C41E7"/>
    <w:rsid w:val="003D2E00"/>
    <w:rsid w:val="003D485C"/>
    <w:rsid w:val="003D6047"/>
    <w:rsid w:val="003E0BB9"/>
    <w:rsid w:val="003E30E0"/>
    <w:rsid w:val="003E4935"/>
    <w:rsid w:val="003E4E8F"/>
    <w:rsid w:val="003E5F7F"/>
    <w:rsid w:val="003F38DF"/>
    <w:rsid w:val="00401C21"/>
    <w:rsid w:val="00422F45"/>
    <w:rsid w:val="00424079"/>
    <w:rsid w:val="00435C60"/>
    <w:rsid w:val="00446839"/>
    <w:rsid w:val="004550F6"/>
    <w:rsid w:val="004567C7"/>
    <w:rsid w:val="00457957"/>
    <w:rsid w:val="004636D9"/>
    <w:rsid w:val="0046477F"/>
    <w:rsid w:val="00466FE2"/>
    <w:rsid w:val="00477243"/>
    <w:rsid w:val="00490BF3"/>
    <w:rsid w:val="004A0114"/>
    <w:rsid w:val="004A3078"/>
    <w:rsid w:val="004A63EC"/>
    <w:rsid w:val="004C0BD6"/>
    <w:rsid w:val="004C2C27"/>
    <w:rsid w:val="004D0FAC"/>
    <w:rsid w:val="004D4E77"/>
    <w:rsid w:val="0050213E"/>
    <w:rsid w:val="00502257"/>
    <w:rsid w:val="0051447B"/>
    <w:rsid w:val="00521733"/>
    <w:rsid w:val="00526407"/>
    <w:rsid w:val="00527855"/>
    <w:rsid w:val="005330A7"/>
    <w:rsid w:val="00537AC2"/>
    <w:rsid w:val="005435E7"/>
    <w:rsid w:val="00544463"/>
    <w:rsid w:val="00554E75"/>
    <w:rsid w:val="00573C2F"/>
    <w:rsid w:val="005977F4"/>
    <w:rsid w:val="005A0B5D"/>
    <w:rsid w:val="005A0BC7"/>
    <w:rsid w:val="005A72B3"/>
    <w:rsid w:val="005B0422"/>
    <w:rsid w:val="005B5E77"/>
    <w:rsid w:val="005C43C9"/>
    <w:rsid w:val="005E18E6"/>
    <w:rsid w:val="005E4443"/>
    <w:rsid w:val="006029A4"/>
    <w:rsid w:val="00603110"/>
    <w:rsid w:val="00610738"/>
    <w:rsid w:val="00612170"/>
    <w:rsid w:val="006311E3"/>
    <w:rsid w:val="00637FC3"/>
    <w:rsid w:val="00653277"/>
    <w:rsid w:val="00661A0E"/>
    <w:rsid w:val="00673C00"/>
    <w:rsid w:val="00685CFB"/>
    <w:rsid w:val="0068641D"/>
    <w:rsid w:val="00695877"/>
    <w:rsid w:val="006A15CA"/>
    <w:rsid w:val="006A3B4F"/>
    <w:rsid w:val="006B369F"/>
    <w:rsid w:val="006B69D3"/>
    <w:rsid w:val="006C086D"/>
    <w:rsid w:val="006C1903"/>
    <w:rsid w:val="006D0361"/>
    <w:rsid w:val="006D21D0"/>
    <w:rsid w:val="006E6E26"/>
    <w:rsid w:val="006F085C"/>
    <w:rsid w:val="006F4010"/>
    <w:rsid w:val="006F4DAF"/>
    <w:rsid w:val="00703FED"/>
    <w:rsid w:val="00705E76"/>
    <w:rsid w:val="0071063A"/>
    <w:rsid w:val="007252AD"/>
    <w:rsid w:val="00726047"/>
    <w:rsid w:val="00735C2C"/>
    <w:rsid w:val="00742237"/>
    <w:rsid w:val="0075295D"/>
    <w:rsid w:val="00766365"/>
    <w:rsid w:val="00766717"/>
    <w:rsid w:val="00770BA2"/>
    <w:rsid w:val="0077739C"/>
    <w:rsid w:val="007834BC"/>
    <w:rsid w:val="007860C9"/>
    <w:rsid w:val="0078727B"/>
    <w:rsid w:val="00792879"/>
    <w:rsid w:val="00797D76"/>
    <w:rsid w:val="007A072C"/>
    <w:rsid w:val="007A134B"/>
    <w:rsid w:val="007A1EC2"/>
    <w:rsid w:val="007A481D"/>
    <w:rsid w:val="007A5D47"/>
    <w:rsid w:val="007B1431"/>
    <w:rsid w:val="007C0015"/>
    <w:rsid w:val="007C2C04"/>
    <w:rsid w:val="007D0996"/>
    <w:rsid w:val="007D0F1F"/>
    <w:rsid w:val="007D1D98"/>
    <w:rsid w:val="007E22AC"/>
    <w:rsid w:val="007E676A"/>
    <w:rsid w:val="007E7F66"/>
    <w:rsid w:val="007F1818"/>
    <w:rsid w:val="007F2224"/>
    <w:rsid w:val="007F41E7"/>
    <w:rsid w:val="007F4A51"/>
    <w:rsid w:val="00804D71"/>
    <w:rsid w:val="00811534"/>
    <w:rsid w:val="008303F7"/>
    <w:rsid w:val="00831C11"/>
    <w:rsid w:val="00832FA7"/>
    <w:rsid w:val="00834702"/>
    <w:rsid w:val="00841FF7"/>
    <w:rsid w:val="00852159"/>
    <w:rsid w:val="00861BC9"/>
    <w:rsid w:val="00866460"/>
    <w:rsid w:val="00876A03"/>
    <w:rsid w:val="008774B6"/>
    <w:rsid w:val="00886143"/>
    <w:rsid w:val="0089548B"/>
    <w:rsid w:val="008B5851"/>
    <w:rsid w:val="008B675F"/>
    <w:rsid w:val="008D204D"/>
    <w:rsid w:val="008D357C"/>
    <w:rsid w:val="008E1EAA"/>
    <w:rsid w:val="008E4776"/>
    <w:rsid w:val="008E6BCE"/>
    <w:rsid w:val="008F3642"/>
    <w:rsid w:val="009005BB"/>
    <w:rsid w:val="00901F22"/>
    <w:rsid w:val="009131A7"/>
    <w:rsid w:val="00923D3C"/>
    <w:rsid w:val="0094270B"/>
    <w:rsid w:val="00970EEF"/>
    <w:rsid w:val="009864AE"/>
    <w:rsid w:val="009A2A01"/>
    <w:rsid w:val="009B2105"/>
    <w:rsid w:val="009E1EA7"/>
    <w:rsid w:val="009E210C"/>
    <w:rsid w:val="009F5491"/>
    <w:rsid w:val="00A019CE"/>
    <w:rsid w:val="00A01CBD"/>
    <w:rsid w:val="00A111EA"/>
    <w:rsid w:val="00A146CF"/>
    <w:rsid w:val="00A22184"/>
    <w:rsid w:val="00A22A15"/>
    <w:rsid w:val="00A3004D"/>
    <w:rsid w:val="00A3089A"/>
    <w:rsid w:val="00A346E5"/>
    <w:rsid w:val="00A43334"/>
    <w:rsid w:val="00A43A99"/>
    <w:rsid w:val="00A47699"/>
    <w:rsid w:val="00A5148D"/>
    <w:rsid w:val="00A521C0"/>
    <w:rsid w:val="00A7454F"/>
    <w:rsid w:val="00AA7BA2"/>
    <w:rsid w:val="00AC3C96"/>
    <w:rsid w:val="00AC68AF"/>
    <w:rsid w:val="00AE0E73"/>
    <w:rsid w:val="00AE2DB5"/>
    <w:rsid w:val="00AF011F"/>
    <w:rsid w:val="00B02713"/>
    <w:rsid w:val="00B148AE"/>
    <w:rsid w:val="00B26825"/>
    <w:rsid w:val="00B3328C"/>
    <w:rsid w:val="00B340AB"/>
    <w:rsid w:val="00B55ABD"/>
    <w:rsid w:val="00B573D2"/>
    <w:rsid w:val="00B575E9"/>
    <w:rsid w:val="00B64454"/>
    <w:rsid w:val="00B64C7F"/>
    <w:rsid w:val="00B74AEE"/>
    <w:rsid w:val="00B77AB4"/>
    <w:rsid w:val="00B835B0"/>
    <w:rsid w:val="00B9365C"/>
    <w:rsid w:val="00B963A7"/>
    <w:rsid w:val="00BA5804"/>
    <w:rsid w:val="00BB17BD"/>
    <w:rsid w:val="00BB22DB"/>
    <w:rsid w:val="00BB79AA"/>
    <w:rsid w:val="00BC6A6F"/>
    <w:rsid w:val="00BC7D0B"/>
    <w:rsid w:val="00BD2C11"/>
    <w:rsid w:val="00BD4E20"/>
    <w:rsid w:val="00BF5A79"/>
    <w:rsid w:val="00C1118D"/>
    <w:rsid w:val="00C12773"/>
    <w:rsid w:val="00C21919"/>
    <w:rsid w:val="00C2541F"/>
    <w:rsid w:val="00C357F3"/>
    <w:rsid w:val="00C434B5"/>
    <w:rsid w:val="00C52DCB"/>
    <w:rsid w:val="00C62164"/>
    <w:rsid w:val="00C6534B"/>
    <w:rsid w:val="00C721AA"/>
    <w:rsid w:val="00C83451"/>
    <w:rsid w:val="00C94AF8"/>
    <w:rsid w:val="00C96174"/>
    <w:rsid w:val="00CA55B0"/>
    <w:rsid w:val="00CB5F5A"/>
    <w:rsid w:val="00CC7DC5"/>
    <w:rsid w:val="00CE5648"/>
    <w:rsid w:val="00CF13D5"/>
    <w:rsid w:val="00CF2AA1"/>
    <w:rsid w:val="00CF7CD1"/>
    <w:rsid w:val="00D0686E"/>
    <w:rsid w:val="00D21E51"/>
    <w:rsid w:val="00D31AEB"/>
    <w:rsid w:val="00D33677"/>
    <w:rsid w:val="00D340F4"/>
    <w:rsid w:val="00D5133D"/>
    <w:rsid w:val="00D5158F"/>
    <w:rsid w:val="00D52774"/>
    <w:rsid w:val="00D540EA"/>
    <w:rsid w:val="00D54AFF"/>
    <w:rsid w:val="00D63130"/>
    <w:rsid w:val="00D653DF"/>
    <w:rsid w:val="00D8117A"/>
    <w:rsid w:val="00D902BF"/>
    <w:rsid w:val="00DB2EC1"/>
    <w:rsid w:val="00DB5026"/>
    <w:rsid w:val="00DC750D"/>
    <w:rsid w:val="00DD69DE"/>
    <w:rsid w:val="00DD7686"/>
    <w:rsid w:val="00DE2986"/>
    <w:rsid w:val="00DE2D0C"/>
    <w:rsid w:val="00DF2185"/>
    <w:rsid w:val="00DF5AD3"/>
    <w:rsid w:val="00E0679E"/>
    <w:rsid w:val="00E15803"/>
    <w:rsid w:val="00E23B4D"/>
    <w:rsid w:val="00E24A16"/>
    <w:rsid w:val="00E30954"/>
    <w:rsid w:val="00E3196B"/>
    <w:rsid w:val="00E334D6"/>
    <w:rsid w:val="00E42AB9"/>
    <w:rsid w:val="00E512B1"/>
    <w:rsid w:val="00E73E0F"/>
    <w:rsid w:val="00E803B0"/>
    <w:rsid w:val="00E82A64"/>
    <w:rsid w:val="00EA0783"/>
    <w:rsid w:val="00EA1FBB"/>
    <w:rsid w:val="00EA4B27"/>
    <w:rsid w:val="00EB46D0"/>
    <w:rsid w:val="00ED3553"/>
    <w:rsid w:val="00ED4E14"/>
    <w:rsid w:val="00ED589E"/>
    <w:rsid w:val="00EE23A6"/>
    <w:rsid w:val="00EF0F65"/>
    <w:rsid w:val="00EF2CE7"/>
    <w:rsid w:val="00F36608"/>
    <w:rsid w:val="00F4307D"/>
    <w:rsid w:val="00F5007C"/>
    <w:rsid w:val="00F52F05"/>
    <w:rsid w:val="00F644CF"/>
    <w:rsid w:val="00F722A8"/>
    <w:rsid w:val="00F72321"/>
    <w:rsid w:val="00F779AC"/>
    <w:rsid w:val="00F87CBF"/>
    <w:rsid w:val="00F93BE9"/>
    <w:rsid w:val="00FA6E79"/>
    <w:rsid w:val="00FB4709"/>
    <w:rsid w:val="00FB4E0F"/>
    <w:rsid w:val="00FB78ED"/>
    <w:rsid w:val="00FC0316"/>
    <w:rsid w:val="00FC1160"/>
    <w:rsid w:val="00FC170D"/>
    <w:rsid w:val="00FE4883"/>
    <w:rsid w:val="00FE60E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936FD"/>
  <w15:docId w15:val="{CFFEB78B-146D-4AEE-A061-7BA30257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C9"/>
  </w:style>
  <w:style w:type="paragraph" w:styleId="Titre1">
    <w:name w:val="heading 1"/>
    <w:basedOn w:val="Normal"/>
    <w:next w:val="Normal"/>
    <w:link w:val="Titre1Car"/>
    <w:uiPriority w:val="9"/>
    <w:qFormat/>
    <w:rsid w:val="00710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3BE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957"/>
  </w:style>
  <w:style w:type="paragraph" w:styleId="Pieddepage">
    <w:name w:val="footer"/>
    <w:basedOn w:val="Normal"/>
    <w:link w:val="PieddepageCar"/>
    <w:uiPriority w:val="99"/>
    <w:unhideWhenUsed/>
    <w:rsid w:val="0045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95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56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56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E5648"/>
    <w:rPr>
      <w:vertAlign w:val="superscript"/>
    </w:rPr>
  </w:style>
  <w:style w:type="table" w:styleId="Grilledutableau">
    <w:name w:val="Table Grid"/>
    <w:basedOn w:val="TableauNormal"/>
    <w:rsid w:val="0042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A1FBB"/>
    <w:rPr>
      <w:rFonts w:ascii="Arial" w:hAnsi="Arial" w:cs="Arial" w:hint="default"/>
      <w:strike w:val="0"/>
      <w:dstrike w:val="0"/>
      <w:color w:val="286ED7"/>
      <w:sz w:val="21"/>
      <w:szCs w:val="21"/>
      <w:u w:val="none"/>
      <w:effect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04D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4D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4D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4D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4D71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C2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D0361"/>
    <w:rPr>
      <w:color w:val="800080" w:themeColor="followedHyperlink"/>
      <w:u w:val="single"/>
    </w:rPr>
  </w:style>
  <w:style w:type="paragraph" w:customStyle="1" w:styleId="cdc1">
    <w:name w:val="cdc1"/>
    <w:basedOn w:val="Normal"/>
    <w:link w:val="cdc1Car"/>
    <w:qFormat/>
    <w:rsid w:val="001627E0"/>
    <w:pPr>
      <w:numPr>
        <w:numId w:val="16"/>
      </w:numPr>
      <w:shd w:val="solid" w:color="B8CCE4" w:themeColor="accent1" w:themeTint="66" w:fill="B8CCE4" w:themeFill="accent1" w:themeFillTint="66"/>
      <w:jc w:val="both"/>
    </w:pPr>
    <w:rPr>
      <w:caps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10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dc1Car">
    <w:name w:val="cdc1 Car"/>
    <w:basedOn w:val="Policepardfaut"/>
    <w:link w:val="cdc1"/>
    <w:rsid w:val="00477243"/>
    <w:rPr>
      <w:caps/>
      <w:sz w:val="28"/>
      <w:u w:val="single"/>
      <w:shd w:val="solid" w:color="B8CCE4" w:themeColor="accent1" w:themeTint="66" w:fill="B8CCE4" w:themeFill="accent1" w:themeFillTint="6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1063A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627E0"/>
    <w:pPr>
      <w:tabs>
        <w:tab w:val="left" w:pos="440"/>
        <w:tab w:val="right" w:leader="dot" w:pos="9062"/>
      </w:tabs>
      <w:spacing w:after="100"/>
    </w:pPr>
  </w:style>
  <w:style w:type="table" w:customStyle="1" w:styleId="Grilledutableau2">
    <w:name w:val="Grille du tableau2"/>
    <w:basedOn w:val="TableauNormal"/>
    <w:next w:val="Grilledutableau"/>
    <w:uiPriority w:val="59"/>
    <w:rsid w:val="0066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iste6Couleur1">
    <w:name w:val="Tableau Liste 6 Couleur1"/>
    <w:basedOn w:val="TableauNormal"/>
    <w:next w:val="TableauListe6Couleur"/>
    <w:uiPriority w:val="51"/>
    <w:rsid w:val="004636D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Liste6Couleur">
    <w:name w:val="List Table 6 Colorful"/>
    <w:basedOn w:val="TableauNormal"/>
    <w:uiPriority w:val="51"/>
    <w:rsid w:val="004636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t.social.gouv.fr/commencer/arsif-appel-a-candidatures-pour-les-postes-partages-aum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idf-dos-mgs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1162-1532-4656-8373-4E15F187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1496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MOLINIER, Marie</dc:creator>
  <cp:lastModifiedBy>ROUX, Ludivine (ARS-IDF)</cp:lastModifiedBy>
  <cp:revision>3</cp:revision>
  <cp:lastPrinted>2023-04-04T13:28:00Z</cp:lastPrinted>
  <dcterms:created xsi:type="dcterms:W3CDTF">2024-03-12T10:38:00Z</dcterms:created>
  <dcterms:modified xsi:type="dcterms:W3CDTF">2024-03-12T13:02:00Z</dcterms:modified>
</cp:coreProperties>
</file>