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E0DD5" w14:textId="77777777" w:rsidR="00DC750D" w:rsidRPr="00A822BF" w:rsidRDefault="00DC750D" w:rsidP="00B77AB4">
      <w:pPr>
        <w:jc w:val="both"/>
        <w:rPr>
          <w:sz w:val="16"/>
          <w:szCs w:val="16"/>
        </w:rPr>
      </w:pPr>
    </w:p>
    <w:p w14:paraId="589811BA" w14:textId="77777777" w:rsidR="00673C00" w:rsidRPr="00A822BF" w:rsidRDefault="00673C00" w:rsidP="00673C00">
      <w:pPr>
        <w:jc w:val="center"/>
        <w:rPr>
          <w:sz w:val="16"/>
          <w:szCs w:val="16"/>
        </w:rPr>
      </w:pPr>
    </w:p>
    <w:tbl>
      <w:tblPr>
        <w:tblStyle w:val="Grilledutableau1"/>
        <w:tblW w:w="0" w:type="auto"/>
        <w:tblInd w:w="392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8670"/>
      </w:tblGrid>
      <w:tr w:rsidR="00C21919" w:rsidRPr="00F71830" w14:paraId="36040DC1" w14:textId="77777777" w:rsidTr="00E75562">
        <w:tc>
          <w:tcPr>
            <w:tcW w:w="9355" w:type="dxa"/>
            <w:shd w:val="clear" w:color="auto" w:fill="B6DDE8" w:themeFill="accent5" w:themeFillTint="66"/>
          </w:tcPr>
          <w:p w14:paraId="20E04D2C" w14:textId="77777777" w:rsidR="00C21919" w:rsidRPr="00F71830" w:rsidRDefault="00C21919" w:rsidP="00E75562">
            <w:pPr>
              <w:jc w:val="center"/>
              <w:rPr>
                <w:sz w:val="16"/>
                <w:szCs w:val="16"/>
              </w:rPr>
            </w:pPr>
          </w:p>
          <w:p w14:paraId="0AFF1C45" w14:textId="77777777" w:rsidR="00C21919" w:rsidRDefault="00C21919" w:rsidP="00E75562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Postes </w:t>
            </w:r>
            <w:r>
              <w:rPr>
                <w:b/>
                <w:sz w:val="44"/>
                <w:szCs w:val="44"/>
              </w:rPr>
              <w:t>d’Assistants Universitaires de</w:t>
            </w:r>
          </w:p>
          <w:p w14:paraId="2D5190D9" w14:textId="1D8B7B1F" w:rsidR="00C21919" w:rsidRPr="00F71830" w:rsidRDefault="00C21919" w:rsidP="00E755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Médecine Générale </w:t>
            </w:r>
          </w:p>
          <w:p w14:paraId="6F2439DE" w14:textId="7C6D7066" w:rsidR="00C21919" w:rsidRPr="00F71830" w:rsidRDefault="00C21919" w:rsidP="00E75562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 (2023-2025)</w:t>
            </w:r>
          </w:p>
          <w:p w14:paraId="5BCCDEE0" w14:textId="2BCFACB3" w:rsidR="00C21919" w:rsidRPr="00F71830" w:rsidRDefault="00C21919" w:rsidP="00E75562">
            <w:pPr>
              <w:jc w:val="center"/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-</w:t>
            </w:r>
          </w:p>
          <w:p w14:paraId="5D8F207F" w14:textId="77777777" w:rsidR="00C21919" w:rsidRPr="00F71830" w:rsidRDefault="00C21919" w:rsidP="00E75562">
            <w:pPr>
              <w:jc w:val="center"/>
              <w:rPr>
                <w:sz w:val="40"/>
                <w:szCs w:val="44"/>
              </w:rPr>
            </w:pPr>
            <w:r w:rsidRPr="00F71830">
              <w:rPr>
                <w:sz w:val="40"/>
                <w:szCs w:val="44"/>
              </w:rPr>
              <w:t>Cahier des Charges</w:t>
            </w:r>
          </w:p>
          <w:p w14:paraId="56DEA245" w14:textId="77777777" w:rsidR="00C21919" w:rsidRPr="00F71830" w:rsidRDefault="00C21919" w:rsidP="00E755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B860F1" w14:textId="77777777" w:rsidR="00673C00" w:rsidRDefault="00673C00" w:rsidP="00B77AB4">
      <w:pPr>
        <w:jc w:val="both"/>
      </w:pPr>
    </w:p>
    <w:p w14:paraId="6F1E11B9" w14:textId="27D5214D" w:rsidR="0077739C" w:rsidRDefault="0068641D" w:rsidP="00B77AB4">
      <w:pPr>
        <w:jc w:val="both"/>
      </w:pPr>
      <w:r>
        <w:t>L’A</w:t>
      </w:r>
      <w:r w:rsidR="00841FF7">
        <w:t xml:space="preserve">gence </w:t>
      </w:r>
      <w:r>
        <w:t>R</w:t>
      </w:r>
      <w:r w:rsidR="00841FF7">
        <w:t xml:space="preserve">égionale de </w:t>
      </w:r>
      <w:r>
        <w:t>S</w:t>
      </w:r>
      <w:r w:rsidR="00841FF7">
        <w:t>anté</w:t>
      </w:r>
      <w:r>
        <w:t xml:space="preserve"> </w:t>
      </w:r>
      <w:r w:rsidR="00841FF7">
        <w:t>d’</w:t>
      </w:r>
      <w:r>
        <w:t xml:space="preserve">Ile-de-France lance son </w:t>
      </w:r>
      <w:r w:rsidR="00537AC2">
        <w:t>10</w:t>
      </w:r>
      <w:r w:rsidR="00841FF7" w:rsidRPr="00EE23A6">
        <w:rPr>
          <w:vertAlign w:val="superscript"/>
        </w:rPr>
        <w:t>i</w:t>
      </w:r>
      <w:r w:rsidR="00AC68AF" w:rsidRPr="004567C7">
        <w:rPr>
          <w:vertAlign w:val="superscript"/>
        </w:rPr>
        <w:t>ème</w:t>
      </w:r>
      <w:r w:rsidR="00AC68AF">
        <w:t xml:space="preserve"> appel à candidature pour la création de postes d’Assistants Universitaires de Médecine Générale (AUMG). </w:t>
      </w:r>
    </w:p>
    <w:p w14:paraId="6F9ADD91" w14:textId="77777777" w:rsidR="00AC68AF" w:rsidRDefault="00AC68AF" w:rsidP="00B77AB4">
      <w:pPr>
        <w:jc w:val="both"/>
        <w:rPr>
          <w:b/>
          <w:u w:val="single"/>
        </w:rPr>
      </w:pPr>
      <w:r>
        <w:rPr>
          <w:b/>
          <w:u w:val="single"/>
        </w:rPr>
        <w:t>Définition des postes d’AUMG</w:t>
      </w:r>
    </w:p>
    <w:p w14:paraId="52E2C56D" w14:textId="3C472412" w:rsidR="002C1831" w:rsidRDefault="00AC68AF" w:rsidP="00B77AB4">
      <w:pPr>
        <w:jc w:val="both"/>
      </w:pPr>
      <w:r>
        <w:t>Un A</w:t>
      </w:r>
      <w:r w:rsidR="00841FF7">
        <w:t xml:space="preserve">ssistant </w:t>
      </w:r>
      <w:r>
        <w:t>U</w:t>
      </w:r>
      <w:r w:rsidR="00841FF7">
        <w:t xml:space="preserve">niversitaire de </w:t>
      </w:r>
      <w:r>
        <w:t>M</w:t>
      </w:r>
      <w:r w:rsidR="00841FF7">
        <w:t xml:space="preserve">édecine </w:t>
      </w:r>
      <w:r>
        <w:t>G</w:t>
      </w:r>
      <w:r w:rsidR="00841FF7">
        <w:t xml:space="preserve">énérale </w:t>
      </w:r>
      <w:r w:rsidR="002C1831">
        <w:t>exerce</w:t>
      </w:r>
      <w:r w:rsidR="006F085C">
        <w:t xml:space="preserve"> à la fois </w:t>
      </w:r>
      <w:r w:rsidR="002C1831">
        <w:t>dans</w:t>
      </w:r>
      <w:r w:rsidR="006F085C">
        <w:t xml:space="preserve"> </w:t>
      </w:r>
      <w:r>
        <w:t>une structure de soin</w:t>
      </w:r>
      <w:r w:rsidR="006A15CA">
        <w:t>s</w:t>
      </w:r>
      <w:r>
        <w:t xml:space="preserve"> partenaire du</w:t>
      </w:r>
      <w:r w:rsidR="002517C4">
        <w:t xml:space="preserve"> projet (centre de santé, maison</w:t>
      </w:r>
      <w:r>
        <w:t xml:space="preserve"> de santé</w:t>
      </w:r>
      <w:r w:rsidR="00B26825">
        <w:t xml:space="preserve">, cabinet </w:t>
      </w:r>
      <w:r w:rsidR="0014372B">
        <w:t>individuel ou de groupe</w:t>
      </w:r>
      <w:r>
        <w:t>)</w:t>
      </w:r>
      <w:r w:rsidR="008E1EAA">
        <w:t xml:space="preserve"> </w:t>
      </w:r>
      <w:r w:rsidR="006F085C">
        <w:t xml:space="preserve">et </w:t>
      </w:r>
      <w:r w:rsidR="002C1831">
        <w:t xml:space="preserve">dans le </w:t>
      </w:r>
      <w:r w:rsidR="005A0BC7">
        <w:t>Département de Médecine Générale de l’U</w:t>
      </w:r>
      <w:r w:rsidR="006F085C">
        <w:t xml:space="preserve">niversité, </w:t>
      </w:r>
      <w:r w:rsidR="008E1EAA">
        <w:t>pour une durée de 2 ans</w:t>
      </w:r>
      <w:r>
        <w:t>.</w:t>
      </w:r>
      <w:r w:rsidR="005A72B3">
        <w:t xml:space="preserve"> </w:t>
      </w:r>
    </w:p>
    <w:p w14:paraId="73740B29" w14:textId="1810AD69" w:rsidR="006F085C" w:rsidRDefault="002C1831" w:rsidP="00B77AB4">
      <w:pPr>
        <w:jc w:val="both"/>
      </w:pPr>
      <w:r>
        <w:t>L</w:t>
      </w:r>
      <w:r w:rsidR="006F085C">
        <w:t xml:space="preserve">es activités </w:t>
      </w:r>
      <w:r>
        <w:t>de l’A</w:t>
      </w:r>
      <w:r w:rsidR="00841FF7">
        <w:t xml:space="preserve">ssistant </w:t>
      </w:r>
      <w:r>
        <w:t>U</w:t>
      </w:r>
      <w:r w:rsidR="00841FF7">
        <w:t xml:space="preserve">niversitaire de </w:t>
      </w:r>
      <w:r>
        <w:t>M</w:t>
      </w:r>
      <w:r w:rsidR="00841FF7">
        <w:t xml:space="preserve">édecine </w:t>
      </w:r>
      <w:r>
        <w:t>G</w:t>
      </w:r>
      <w:r w:rsidR="00841FF7">
        <w:t>énérale</w:t>
      </w:r>
      <w:r>
        <w:t xml:space="preserve"> </w:t>
      </w:r>
      <w:r w:rsidR="006F085C">
        <w:t>sont :</w:t>
      </w:r>
    </w:p>
    <w:p w14:paraId="45DD157C" w14:textId="77777777" w:rsidR="004567C7" w:rsidRDefault="005A72B3" w:rsidP="004567C7">
      <w:pPr>
        <w:jc w:val="both"/>
      </w:pPr>
      <w:r w:rsidRPr="00F93BE9">
        <w:rPr>
          <w:u w:val="single"/>
        </w:rPr>
        <w:t>-Au sein de la structure de soins</w:t>
      </w:r>
      <w:r>
        <w:t xml:space="preserve"> : </w:t>
      </w:r>
    </w:p>
    <w:p w14:paraId="4D8E1DF9" w14:textId="77777777" w:rsidR="004567C7" w:rsidRDefault="004567C7" w:rsidP="004567C7">
      <w:pPr>
        <w:pStyle w:val="Paragraphedeliste"/>
        <w:numPr>
          <w:ilvl w:val="0"/>
          <w:numId w:val="8"/>
        </w:numPr>
        <w:jc w:val="both"/>
      </w:pPr>
      <w:r>
        <w:t xml:space="preserve">Des activités de soins (curatifs et préventifs) en lien avec les acteurs sanitaires et sociaux du territoire. </w:t>
      </w:r>
    </w:p>
    <w:p w14:paraId="6020B0D2" w14:textId="77777777" w:rsidR="004567C7" w:rsidRPr="004567C7" w:rsidRDefault="004567C7" w:rsidP="004567C7">
      <w:pPr>
        <w:pStyle w:val="Paragraphedeliste"/>
        <w:numPr>
          <w:ilvl w:val="0"/>
          <w:numId w:val="8"/>
        </w:numPr>
        <w:jc w:val="both"/>
      </w:pPr>
      <w:r>
        <w:t>Encadrement d’internes et/ou d’externes</w:t>
      </w:r>
    </w:p>
    <w:p w14:paraId="612C608C" w14:textId="77777777" w:rsidR="00F93BE9" w:rsidRDefault="00F93BE9" w:rsidP="00B77AB4">
      <w:pPr>
        <w:jc w:val="both"/>
      </w:pPr>
      <w:r w:rsidRPr="00F93BE9">
        <w:rPr>
          <w:u w:val="single"/>
        </w:rPr>
        <w:t>-Au sein de l’Université</w:t>
      </w:r>
      <w:r>
        <w:t xml:space="preserve"> : </w:t>
      </w:r>
    </w:p>
    <w:p w14:paraId="7E80C926" w14:textId="77777777" w:rsidR="00F93BE9" w:rsidRDefault="00F93BE9" w:rsidP="00B77AB4">
      <w:pPr>
        <w:pStyle w:val="Paragraphedeliste"/>
        <w:numPr>
          <w:ilvl w:val="0"/>
          <w:numId w:val="1"/>
        </w:numPr>
        <w:jc w:val="both"/>
      </w:pPr>
      <w:r>
        <w:t>Des activités de recherche</w:t>
      </w:r>
    </w:p>
    <w:p w14:paraId="2DB1C565" w14:textId="17E619A2" w:rsidR="00F93BE9" w:rsidRDefault="00F93BE9" w:rsidP="00B77AB4">
      <w:pPr>
        <w:pStyle w:val="Paragraphedeliste"/>
        <w:numPr>
          <w:ilvl w:val="0"/>
          <w:numId w:val="1"/>
        </w:numPr>
        <w:jc w:val="both"/>
      </w:pPr>
      <w:r>
        <w:t>Des activités pédagogique</w:t>
      </w:r>
      <w:r w:rsidR="00BA5804">
        <w:t>s</w:t>
      </w:r>
      <w:r>
        <w:t xml:space="preserve"> (enseignement, participation à la formation des </w:t>
      </w:r>
      <w:r w:rsidR="007834BC">
        <w:t>i</w:t>
      </w:r>
      <w:r w:rsidR="00766365">
        <w:t>nternes/</w:t>
      </w:r>
      <w:r>
        <w:t xml:space="preserve">externes…). </w:t>
      </w:r>
    </w:p>
    <w:p w14:paraId="17EE80A5" w14:textId="77777777" w:rsidR="008E1EAA" w:rsidRDefault="008E1EAA" w:rsidP="00B77AB4">
      <w:pPr>
        <w:jc w:val="both"/>
        <w:rPr>
          <w:b/>
          <w:u w:val="single"/>
        </w:rPr>
      </w:pPr>
      <w:r w:rsidRPr="008E1EAA">
        <w:rPr>
          <w:b/>
          <w:u w:val="single"/>
        </w:rPr>
        <w:t>Objectifs du dispositif</w:t>
      </w:r>
    </w:p>
    <w:p w14:paraId="33CA0253" w14:textId="77777777" w:rsidR="004D4E77" w:rsidRDefault="00E23B4D" w:rsidP="00B77AB4">
      <w:pPr>
        <w:jc w:val="both"/>
      </w:pPr>
      <w:r>
        <w:t>-S</w:t>
      </w:r>
      <w:r w:rsidR="00F52F05">
        <w:t>outenir des projets professionnels clinique</w:t>
      </w:r>
      <w:r w:rsidR="006A15CA">
        <w:t>s</w:t>
      </w:r>
      <w:r w:rsidR="00F52F05">
        <w:t>/universitaire</w:t>
      </w:r>
      <w:r w:rsidR="006A15CA">
        <w:t>s</w:t>
      </w:r>
      <w:r w:rsidR="00F52F05">
        <w:t xml:space="preserve"> en permettant à de jeunes médecins de parfaire leur formation post-internat</w:t>
      </w:r>
    </w:p>
    <w:p w14:paraId="67C7EF75" w14:textId="744DB4F9" w:rsidR="00B74AEE" w:rsidRDefault="00E23B4D" w:rsidP="00B77AB4">
      <w:pPr>
        <w:jc w:val="both"/>
      </w:pPr>
      <w:r>
        <w:t>-S</w:t>
      </w:r>
      <w:r w:rsidR="00F52F05">
        <w:t xml:space="preserve">outenir la médecine </w:t>
      </w:r>
      <w:r w:rsidR="00B74AEE">
        <w:t xml:space="preserve">de premier recours notamment dans des territoires </w:t>
      </w:r>
      <w:r w:rsidR="00F644CF">
        <w:t>dits en tension selon l’arrêté du zonage médecins</w:t>
      </w:r>
    </w:p>
    <w:p w14:paraId="7C3A5C61" w14:textId="77777777" w:rsidR="00F52F05" w:rsidRDefault="00F52F05" w:rsidP="00B77AB4">
      <w:pPr>
        <w:jc w:val="both"/>
      </w:pPr>
      <w:r>
        <w:lastRenderedPageBreak/>
        <w:t>-</w:t>
      </w:r>
      <w:r w:rsidR="00B74AEE">
        <w:t xml:space="preserve">Participer à l’encadrement d’internes et/ou d’externes  </w:t>
      </w:r>
    </w:p>
    <w:p w14:paraId="65F6DF43" w14:textId="77777777" w:rsidR="006F085C" w:rsidRDefault="006F085C" w:rsidP="00B77AB4">
      <w:pPr>
        <w:jc w:val="both"/>
      </w:pPr>
      <w:r>
        <w:t>-</w:t>
      </w:r>
      <w:r w:rsidR="00E23B4D">
        <w:t>Renforcer la filière Universitaire de Médecine Générale en soutenant les moyens dévolus aux Départements de Médecine Générale des Universités</w:t>
      </w:r>
      <w:r w:rsidR="00B575E9">
        <w:t>.</w:t>
      </w:r>
    </w:p>
    <w:p w14:paraId="4ADFE814" w14:textId="6846E89E" w:rsidR="004567C7" w:rsidRDefault="004567C7" w:rsidP="00B77AB4">
      <w:pPr>
        <w:jc w:val="both"/>
      </w:pPr>
    </w:p>
    <w:p w14:paraId="79ECFCAD" w14:textId="77777777" w:rsidR="00FC170D" w:rsidRPr="00F72321" w:rsidRDefault="00F52F05" w:rsidP="00B77AB4">
      <w:pPr>
        <w:jc w:val="both"/>
        <w:rPr>
          <w:b/>
          <w:color w:val="0070C0"/>
          <w:u w:val="single"/>
        </w:rPr>
      </w:pPr>
      <w:r w:rsidRPr="00F72321">
        <w:rPr>
          <w:b/>
          <w:color w:val="0070C0"/>
          <w:u w:val="single"/>
        </w:rPr>
        <w:t>1-Conditions pré-requises obligatoires pour déposer une candidature</w:t>
      </w:r>
    </w:p>
    <w:p w14:paraId="13A671EF" w14:textId="77777777" w:rsidR="005A72B3" w:rsidRPr="00FC170D" w:rsidRDefault="00FC170D" w:rsidP="00B77AB4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FC170D">
        <w:rPr>
          <w:b/>
          <w:u w:val="single"/>
        </w:rPr>
        <w:t>Sur le projet de création du poste d’AUMG</w:t>
      </w:r>
      <w:r w:rsidR="004A3078" w:rsidRPr="00FC170D">
        <w:rPr>
          <w:b/>
          <w:u w:val="single"/>
        </w:rPr>
        <w:t xml:space="preserve">: </w:t>
      </w:r>
    </w:p>
    <w:p w14:paraId="736DA5AD" w14:textId="4FEC35D9" w:rsidR="004A3078" w:rsidRDefault="004A3078" w:rsidP="00B77AB4">
      <w:pPr>
        <w:spacing w:after="0"/>
        <w:jc w:val="both"/>
      </w:pPr>
      <w:r w:rsidRPr="004A3078">
        <w:t>-</w:t>
      </w:r>
      <w:r w:rsidR="002033ED">
        <w:t>La partie soins, la partie universitaire et la partie recherche doivent être cla</w:t>
      </w:r>
      <w:r w:rsidR="005C43C9">
        <w:t>irement définies dans le projet</w:t>
      </w:r>
      <w:r w:rsidR="002C1831">
        <w:t xml:space="preserve"> </w:t>
      </w:r>
      <w:proofErr w:type="spellStart"/>
      <w:r w:rsidR="002C1831">
        <w:t>co</w:t>
      </w:r>
      <w:proofErr w:type="spellEnd"/>
      <w:r w:rsidR="002C1831">
        <w:t>-construit entre les partenaires</w:t>
      </w:r>
      <w:r w:rsidR="005C43C9">
        <w:t xml:space="preserve">. </w:t>
      </w:r>
    </w:p>
    <w:p w14:paraId="308E731E" w14:textId="77777777" w:rsidR="002C1831" w:rsidRDefault="002C1831" w:rsidP="00B77AB4">
      <w:pPr>
        <w:spacing w:after="0"/>
        <w:jc w:val="both"/>
      </w:pPr>
    </w:p>
    <w:p w14:paraId="5079E578" w14:textId="1723687B" w:rsidR="009864AE" w:rsidRPr="002C1831" w:rsidRDefault="009864AE" w:rsidP="00B77AB4">
      <w:pPr>
        <w:spacing w:after="0"/>
        <w:jc w:val="both"/>
      </w:pPr>
      <w:r>
        <w:t>-Les AUMG doivent être recrutés pour une période de 2 ans</w:t>
      </w:r>
      <w:r w:rsidR="006A15CA">
        <w:t xml:space="preserve"> </w:t>
      </w:r>
      <w:r w:rsidR="006A15CA" w:rsidRPr="00BC6A6F">
        <w:t>continus et consécutifs</w:t>
      </w:r>
      <w:r w:rsidR="006A3B4F">
        <w:t xml:space="preserve"> du 01</w:t>
      </w:r>
      <w:r w:rsidR="00B573D2">
        <w:t xml:space="preserve"> Novembre 20</w:t>
      </w:r>
      <w:r w:rsidR="00537AC2">
        <w:t>23</w:t>
      </w:r>
      <w:r w:rsidR="00B573D2">
        <w:t xml:space="preserve"> au 31 Octobre 202</w:t>
      </w:r>
      <w:r w:rsidR="00537AC2">
        <w:t>5</w:t>
      </w:r>
      <w:r w:rsidR="007F41E7">
        <w:t xml:space="preserve">. </w:t>
      </w:r>
      <w:r w:rsidR="007F41E7" w:rsidRPr="002C1831">
        <w:t>Ils peuvent être recrutés pour u</w:t>
      </w:r>
      <w:r w:rsidR="00CA55B0" w:rsidRPr="002C1831">
        <w:t xml:space="preserve">ne période d’un an </w:t>
      </w:r>
      <w:r w:rsidR="007F41E7" w:rsidRPr="002C1831">
        <w:t xml:space="preserve">dans le cadre d’un renouvellement de contrat </w:t>
      </w:r>
      <w:r w:rsidR="00B9365C">
        <w:t xml:space="preserve">d’Assistant Universitaire de Médecine Générale </w:t>
      </w:r>
      <w:r w:rsidR="007F41E7" w:rsidRPr="002C1831">
        <w:t xml:space="preserve">d’une vague précédente.  </w:t>
      </w:r>
    </w:p>
    <w:p w14:paraId="6F64FDBD" w14:textId="77777777" w:rsidR="00811534" w:rsidRDefault="00811534" w:rsidP="00B77AB4">
      <w:pPr>
        <w:spacing w:after="0"/>
        <w:jc w:val="both"/>
      </w:pPr>
    </w:p>
    <w:p w14:paraId="10673100" w14:textId="77777777" w:rsidR="002033ED" w:rsidRDefault="002033ED" w:rsidP="00B77AB4">
      <w:pPr>
        <w:pStyle w:val="Paragraphedeliste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FC170D">
        <w:rPr>
          <w:b/>
          <w:u w:val="single"/>
        </w:rPr>
        <w:t>Candidat pressenti par les Universités</w:t>
      </w:r>
    </w:p>
    <w:p w14:paraId="61CF91DB" w14:textId="4E3BFBA6" w:rsidR="004C2C27" w:rsidRPr="004C2C27" w:rsidRDefault="004C2C27" w:rsidP="004C2C27">
      <w:pPr>
        <w:spacing w:after="0"/>
        <w:jc w:val="both"/>
      </w:pPr>
      <w:r w:rsidRPr="004C2C27">
        <w:t>-</w:t>
      </w:r>
      <w:r>
        <w:t>Le candidat doit être obligatoirement inscrit à l’ordre au 1</w:t>
      </w:r>
      <w:r w:rsidRPr="004C2C27">
        <w:rPr>
          <w:vertAlign w:val="superscript"/>
        </w:rPr>
        <w:t>er</w:t>
      </w:r>
      <w:r w:rsidR="00B573D2">
        <w:t xml:space="preserve"> Novembre 20</w:t>
      </w:r>
      <w:r w:rsidR="00537AC2">
        <w:t>23</w:t>
      </w:r>
      <w:r w:rsidR="004D0FAC">
        <w:t>.</w:t>
      </w:r>
    </w:p>
    <w:p w14:paraId="731B7BFC" w14:textId="77777777" w:rsidR="00811534" w:rsidRDefault="00811534" w:rsidP="00B77AB4">
      <w:pPr>
        <w:spacing w:after="0"/>
        <w:jc w:val="both"/>
      </w:pPr>
    </w:p>
    <w:p w14:paraId="0070754D" w14:textId="77777777" w:rsidR="0075295D" w:rsidRPr="00F72321" w:rsidRDefault="0075295D" w:rsidP="00B77AB4">
      <w:pPr>
        <w:jc w:val="both"/>
        <w:rPr>
          <w:b/>
          <w:color w:val="0070C0"/>
          <w:u w:val="single"/>
        </w:rPr>
      </w:pPr>
      <w:r w:rsidRPr="00F72321">
        <w:rPr>
          <w:b/>
          <w:color w:val="0070C0"/>
          <w:u w:val="single"/>
        </w:rPr>
        <w:t>2-Autres critères susceptibles d’être pris en compte dans la sélection des candidatures (liste non exhaustive)</w:t>
      </w:r>
    </w:p>
    <w:p w14:paraId="7550BD19" w14:textId="77777777" w:rsidR="007252AD" w:rsidRDefault="00573C2F" w:rsidP="00B77AB4">
      <w:pPr>
        <w:pStyle w:val="Paragraphedeliste"/>
        <w:numPr>
          <w:ilvl w:val="0"/>
          <w:numId w:val="2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Sur les profils des candidats pressentis</w:t>
      </w:r>
    </w:p>
    <w:p w14:paraId="357355C7" w14:textId="42916FD0" w:rsidR="009005BB" w:rsidRDefault="009005BB" w:rsidP="0014372B">
      <w:pPr>
        <w:spacing w:after="0"/>
        <w:jc w:val="both"/>
      </w:pPr>
      <w:r>
        <w:t>-Post-internat (maximum 4 ans après le DES</w:t>
      </w:r>
      <w:r w:rsidR="00F644CF">
        <w:t xml:space="preserve"> de médecine générale</w:t>
      </w:r>
      <w:r>
        <w:t>)</w:t>
      </w:r>
    </w:p>
    <w:p w14:paraId="211E5392" w14:textId="105656C2" w:rsidR="002C1831" w:rsidRDefault="002C1831" w:rsidP="0014372B">
      <w:pPr>
        <w:spacing w:after="0"/>
        <w:jc w:val="both"/>
      </w:pPr>
      <w:r>
        <w:t>-être inscrit au conseil de l’ordre des médecins au 1</w:t>
      </w:r>
      <w:r w:rsidRPr="002C1831">
        <w:rPr>
          <w:vertAlign w:val="superscript"/>
        </w:rPr>
        <w:t>er</w:t>
      </w:r>
      <w:r>
        <w:t xml:space="preserve"> novembre 2023 </w:t>
      </w:r>
    </w:p>
    <w:p w14:paraId="24AE95AD" w14:textId="24B2E050" w:rsidR="007252AD" w:rsidRDefault="007252AD" w:rsidP="0014372B">
      <w:pPr>
        <w:spacing w:after="0"/>
        <w:jc w:val="both"/>
      </w:pPr>
      <w:r>
        <w:t xml:space="preserve">-Possibilité pour les </w:t>
      </w:r>
      <w:r w:rsidR="00B9365C">
        <w:t xml:space="preserve">Assistants Universitaires de Médecine Générale </w:t>
      </w:r>
      <w:r>
        <w:t xml:space="preserve">de devenir </w:t>
      </w:r>
      <w:r w:rsidR="006A15CA" w:rsidRPr="00BC6A6F">
        <w:t>Maîtres de Stages Universitaires</w:t>
      </w:r>
      <w:r w:rsidR="006A15CA">
        <w:t xml:space="preserve"> (</w:t>
      </w:r>
      <w:r>
        <w:t>MSU</w:t>
      </w:r>
      <w:r w:rsidR="006A15CA">
        <w:t xml:space="preserve">) : </w:t>
      </w:r>
      <w:r>
        <w:t xml:space="preserve">1 an d’exercice de la médecine pour être </w:t>
      </w:r>
      <w:r w:rsidR="00E24A16">
        <w:t xml:space="preserve">Maître de Stages Universitaire </w:t>
      </w:r>
      <w:r>
        <w:t>d’externes et 3 ans d’exercice de la médecine pour ê</w:t>
      </w:r>
      <w:r w:rsidR="006A15CA">
        <w:t>tre M</w:t>
      </w:r>
      <w:r w:rsidR="00B9365C">
        <w:t xml:space="preserve">aître de </w:t>
      </w:r>
      <w:r w:rsidR="006A15CA">
        <w:t>S</w:t>
      </w:r>
      <w:r w:rsidR="00B9365C">
        <w:t xml:space="preserve">tages </w:t>
      </w:r>
      <w:r w:rsidR="006A15CA">
        <w:t>U</w:t>
      </w:r>
      <w:r w:rsidR="00B9365C">
        <w:t>niversitaire</w:t>
      </w:r>
      <w:r w:rsidR="006A15CA">
        <w:t xml:space="preserve"> d’internes</w:t>
      </w:r>
      <w:r>
        <w:t>.</w:t>
      </w:r>
    </w:p>
    <w:p w14:paraId="7D542032" w14:textId="77777777" w:rsidR="0014372B" w:rsidRDefault="0014372B" w:rsidP="0014372B">
      <w:pPr>
        <w:spacing w:after="0"/>
        <w:jc w:val="both"/>
      </w:pPr>
    </w:p>
    <w:p w14:paraId="58B0D447" w14:textId="77777777" w:rsidR="00A01CBD" w:rsidRPr="00A01CBD" w:rsidRDefault="00901F22" w:rsidP="00B77AB4">
      <w:pPr>
        <w:pStyle w:val="Paragraphedeliste"/>
        <w:numPr>
          <w:ilvl w:val="0"/>
          <w:numId w:val="2"/>
        </w:numPr>
        <w:jc w:val="both"/>
      </w:pPr>
      <w:r w:rsidRPr="00A01CBD">
        <w:rPr>
          <w:b/>
          <w:u w:val="single"/>
        </w:rPr>
        <w:t>Sur les projets proposés par les Universités</w:t>
      </w:r>
    </w:p>
    <w:p w14:paraId="12CC9E1C" w14:textId="5A11351B" w:rsidR="00A01CBD" w:rsidRDefault="00735C2C" w:rsidP="00B77AB4">
      <w:pPr>
        <w:jc w:val="both"/>
      </w:pPr>
      <w:r>
        <w:t>-</w:t>
      </w:r>
      <w:r w:rsidR="00BC7D0B">
        <w:t>F</w:t>
      </w:r>
      <w:r w:rsidR="00A01CBD">
        <w:t>iche de poste détaillée avec notamment encadrement de thèses, tutorat d’étudiant</w:t>
      </w:r>
      <w:r w:rsidR="001576CB">
        <w:t>s</w:t>
      </w:r>
      <w:r w:rsidR="00A01CBD">
        <w:t>, activités d’enseignement soit en tant qu’animateur soit en tant que responsable, contribution à l’activité de développement</w:t>
      </w:r>
      <w:r w:rsidR="000D07E8">
        <w:t xml:space="preserve"> des M</w:t>
      </w:r>
      <w:r w:rsidR="00B9365C">
        <w:t xml:space="preserve">aîtres de </w:t>
      </w:r>
      <w:r w:rsidR="000D07E8">
        <w:t>S</w:t>
      </w:r>
      <w:r w:rsidR="00B9365C">
        <w:t xml:space="preserve">tages </w:t>
      </w:r>
      <w:r w:rsidR="000D07E8">
        <w:t>U</w:t>
      </w:r>
      <w:r w:rsidR="00B9365C">
        <w:t>niversitaires</w:t>
      </w:r>
      <w:r w:rsidR="000D07E8">
        <w:t>.</w:t>
      </w:r>
    </w:p>
    <w:p w14:paraId="4EDA4461" w14:textId="77777777" w:rsidR="00A01CBD" w:rsidRDefault="00A01CBD" w:rsidP="00B77AB4">
      <w:pPr>
        <w:pStyle w:val="Paragraphedeliste"/>
        <w:numPr>
          <w:ilvl w:val="0"/>
          <w:numId w:val="2"/>
        </w:numPr>
        <w:jc w:val="both"/>
      </w:pPr>
      <w:r w:rsidRPr="00A01CBD">
        <w:rPr>
          <w:b/>
          <w:u w:val="single"/>
        </w:rPr>
        <w:t>Sur les proj</w:t>
      </w:r>
      <w:r>
        <w:rPr>
          <w:b/>
          <w:u w:val="single"/>
        </w:rPr>
        <w:t>ets proposés par les structures de soins</w:t>
      </w:r>
    </w:p>
    <w:p w14:paraId="267E1D86" w14:textId="0C0D075C" w:rsidR="00A01CBD" w:rsidRDefault="00B64454" w:rsidP="0014372B">
      <w:pPr>
        <w:spacing w:after="0"/>
        <w:jc w:val="both"/>
      </w:pPr>
      <w:r>
        <w:t>-Cabinet</w:t>
      </w:r>
      <w:r w:rsidR="00FB78ED">
        <w:t>s</w:t>
      </w:r>
      <w:r>
        <w:t xml:space="preserve"> </w:t>
      </w:r>
      <w:r w:rsidR="007834BC">
        <w:t>libéraux</w:t>
      </w:r>
      <w:r w:rsidR="004C2C27">
        <w:t xml:space="preserve"> </w:t>
      </w:r>
      <w:r>
        <w:t>et structure</w:t>
      </w:r>
      <w:r w:rsidR="00FB78ED">
        <w:t>s</w:t>
      </w:r>
      <w:r>
        <w:t xml:space="preserve"> collective</w:t>
      </w:r>
      <w:r w:rsidR="00FB78ED">
        <w:t>s</w:t>
      </w:r>
      <w:r>
        <w:t xml:space="preserve"> notamment dans des zones </w:t>
      </w:r>
      <w:r w:rsidR="00F644CF">
        <w:t>identifiées comme étant en tension selon l’arrêté du zonage médecins</w:t>
      </w:r>
    </w:p>
    <w:p w14:paraId="4F3F60D1" w14:textId="77777777" w:rsidR="0046477F" w:rsidRDefault="00B64454" w:rsidP="0014372B">
      <w:pPr>
        <w:spacing w:after="0"/>
        <w:jc w:val="both"/>
      </w:pPr>
      <w:r>
        <w:t xml:space="preserve">-Les structures de soins doivent </w:t>
      </w:r>
      <w:r w:rsidR="001E014E">
        <w:t>être opérationnelles et agréées pour accueillir des internes</w:t>
      </w:r>
    </w:p>
    <w:p w14:paraId="4D72022C" w14:textId="77777777" w:rsidR="002F6079" w:rsidRDefault="002F6079" w:rsidP="0014372B">
      <w:pPr>
        <w:spacing w:after="0"/>
        <w:jc w:val="both"/>
      </w:pPr>
      <w:r>
        <w:t>-Coopération déjà existante entre l’Universit</w:t>
      </w:r>
      <w:r w:rsidR="0051447B">
        <w:t>é</w:t>
      </w:r>
      <w:r>
        <w:t xml:space="preserve"> et la structure de soins</w:t>
      </w:r>
      <w:r w:rsidR="00A01CBD">
        <w:t>, présence sur place d’un universitaire</w:t>
      </w:r>
      <w:r w:rsidR="00B64454">
        <w:t>, dont Maitre de Stage Universitaire (MSU)</w:t>
      </w:r>
    </w:p>
    <w:p w14:paraId="29CA406E" w14:textId="4C9CF50A" w:rsidR="00653277" w:rsidRPr="00DD7686" w:rsidRDefault="005C43C9" w:rsidP="00B77AB4">
      <w:pPr>
        <w:jc w:val="both"/>
        <w:rPr>
          <w:b/>
          <w:u w:val="single"/>
        </w:rPr>
      </w:pPr>
      <w:r w:rsidRPr="000D07E8">
        <w:lastRenderedPageBreak/>
        <w:t xml:space="preserve">-Participation </w:t>
      </w:r>
      <w:r w:rsidR="00060658" w:rsidRPr="000D07E8">
        <w:t xml:space="preserve">des AUMG </w:t>
      </w:r>
      <w:r w:rsidRPr="000D07E8">
        <w:t xml:space="preserve">à la Permanence </w:t>
      </w:r>
      <w:r w:rsidR="00F644CF">
        <w:t>D</w:t>
      </w:r>
      <w:r w:rsidRPr="000D07E8">
        <w:t>es Soins Ambulatoire</w:t>
      </w:r>
      <w:r w:rsidR="00886143">
        <w:t> </w:t>
      </w:r>
      <w:r w:rsidR="00F644CF" w:rsidRPr="00DD7686">
        <w:t>(PDSA)</w:t>
      </w:r>
    </w:p>
    <w:p w14:paraId="4F168BC2" w14:textId="77777777" w:rsidR="00797D76" w:rsidRPr="00797D76" w:rsidRDefault="00797D76" w:rsidP="00B77AB4">
      <w:pPr>
        <w:jc w:val="both"/>
        <w:rPr>
          <w:b/>
          <w:u w:val="single"/>
        </w:rPr>
      </w:pPr>
    </w:p>
    <w:p w14:paraId="2EFC7C7A" w14:textId="56076E6D" w:rsidR="0051447B" w:rsidRPr="00F72321" w:rsidRDefault="0051447B" w:rsidP="00B77AB4">
      <w:pPr>
        <w:jc w:val="both"/>
        <w:rPr>
          <w:b/>
          <w:color w:val="0070C0"/>
          <w:u w:val="single"/>
        </w:rPr>
      </w:pPr>
      <w:r w:rsidRPr="00F72321">
        <w:rPr>
          <w:b/>
          <w:color w:val="0070C0"/>
          <w:u w:val="single"/>
        </w:rPr>
        <w:t xml:space="preserve">3-Jury pour la sélection des candidatures </w:t>
      </w:r>
    </w:p>
    <w:p w14:paraId="2740167C" w14:textId="794EC3A3" w:rsidR="00866460" w:rsidRDefault="003D2E00" w:rsidP="00B77AB4">
      <w:pPr>
        <w:jc w:val="both"/>
      </w:pPr>
      <w:r w:rsidRPr="00E82A64">
        <w:t xml:space="preserve">Un jury de sélection se tiendra </w:t>
      </w:r>
      <w:r w:rsidR="00325EC4">
        <w:t>à une date précisée ultérieurement (</w:t>
      </w:r>
      <w:r w:rsidR="00325EC4" w:rsidRPr="00003167">
        <w:t xml:space="preserve">semaine du </w:t>
      </w:r>
      <w:r w:rsidR="00537AC2">
        <w:t>1</w:t>
      </w:r>
      <w:r w:rsidR="0014372B">
        <w:t>9</w:t>
      </w:r>
      <w:r w:rsidR="00537AC2">
        <w:t xml:space="preserve"> juin 2023</w:t>
      </w:r>
      <w:r w:rsidR="00325EC4">
        <w:t>).</w:t>
      </w:r>
      <w:r w:rsidR="00B573D2" w:rsidRPr="00B573D2">
        <w:rPr>
          <w:b/>
          <w:u w:val="single"/>
        </w:rPr>
        <w:t xml:space="preserve"> </w:t>
      </w:r>
    </w:p>
    <w:p w14:paraId="24162A54" w14:textId="77777777" w:rsidR="00866460" w:rsidRDefault="00866460" w:rsidP="00B77AB4">
      <w:pPr>
        <w:jc w:val="both"/>
      </w:pPr>
      <w:r>
        <w:t>Ce jury de sélection est composé des membres suivants :</w:t>
      </w:r>
    </w:p>
    <w:p w14:paraId="0162A492" w14:textId="77777777" w:rsidR="00E334D6" w:rsidRDefault="00E334D6" w:rsidP="00B77AB4">
      <w:pPr>
        <w:jc w:val="both"/>
      </w:pPr>
      <w:r>
        <w:t xml:space="preserve">-le président de la Conférence des Doyens </w:t>
      </w:r>
    </w:p>
    <w:p w14:paraId="40503687" w14:textId="3CB3029B" w:rsidR="00866460" w:rsidRDefault="00866460" w:rsidP="00B77AB4">
      <w:pPr>
        <w:jc w:val="both"/>
      </w:pPr>
      <w:r>
        <w:t>-l</w:t>
      </w:r>
      <w:r w:rsidR="00F644CF">
        <w:t>e</w:t>
      </w:r>
      <w:r>
        <w:t xml:space="preserve"> </w:t>
      </w:r>
      <w:r w:rsidR="00F644CF">
        <w:t xml:space="preserve">coordonnateur </w:t>
      </w:r>
      <w:r>
        <w:t>du DES de Médecine Générale</w:t>
      </w:r>
    </w:p>
    <w:p w14:paraId="6048A971" w14:textId="3513A4CD" w:rsidR="00866460" w:rsidRDefault="00866460" w:rsidP="00B77AB4">
      <w:pPr>
        <w:jc w:val="both"/>
      </w:pPr>
      <w:r>
        <w:t>-les fédérations des structures d’exercices de soins (FNCS, FEMASIF)</w:t>
      </w:r>
    </w:p>
    <w:p w14:paraId="2A42F3CF" w14:textId="72D7DDB2" w:rsidR="00B9365C" w:rsidRDefault="00B9365C" w:rsidP="00B77AB4">
      <w:pPr>
        <w:jc w:val="both"/>
      </w:pPr>
      <w:r>
        <w:t>-l’Union Régionale des Professionnels de santé médecins libéraux</w:t>
      </w:r>
    </w:p>
    <w:p w14:paraId="5E993588" w14:textId="77777777" w:rsidR="00866460" w:rsidRDefault="00866460" w:rsidP="00B77AB4">
      <w:pPr>
        <w:jc w:val="both"/>
      </w:pPr>
      <w:r>
        <w:t>-le SNJMG et REAGJIR</w:t>
      </w:r>
    </w:p>
    <w:p w14:paraId="36A7884F" w14:textId="77777777" w:rsidR="00866460" w:rsidRDefault="00E334D6" w:rsidP="00B77AB4">
      <w:pPr>
        <w:jc w:val="both"/>
      </w:pPr>
      <w:r>
        <w:sym w:font="Wingdings" w:char="F0E0"/>
      </w:r>
      <w:r>
        <w:t xml:space="preserve"> </w:t>
      </w:r>
      <w:r w:rsidR="004A63EC">
        <w:t>Un</w:t>
      </w:r>
      <w:r>
        <w:t xml:space="preserve"> représentant par Université est invité à venir présenter son ou ses dossiers devant les membres du jury, puis à sortir de la salle afin que le jury puisse délibérer. </w:t>
      </w:r>
    </w:p>
    <w:p w14:paraId="542519BC" w14:textId="4F28019D" w:rsidR="00DB2EC1" w:rsidRPr="00F72321" w:rsidRDefault="00DB2EC1" w:rsidP="00B77AB4">
      <w:pPr>
        <w:jc w:val="both"/>
        <w:rPr>
          <w:b/>
          <w:color w:val="0070C0"/>
          <w:u w:val="single"/>
        </w:rPr>
      </w:pPr>
      <w:r w:rsidRPr="00F72321">
        <w:rPr>
          <w:b/>
          <w:color w:val="0070C0"/>
          <w:u w:val="single"/>
        </w:rPr>
        <w:t xml:space="preserve">4-Modalités financières pour la prise en charge du recrutement </w:t>
      </w:r>
    </w:p>
    <w:p w14:paraId="2E5935BD" w14:textId="1C8A5324" w:rsidR="00DB2EC1" w:rsidRPr="00D31AEB" w:rsidRDefault="00CE5648" w:rsidP="00B77AB4">
      <w:pPr>
        <w:jc w:val="both"/>
      </w:pPr>
      <w:r>
        <w:t>Le recrutement est pris en charge à hauteur de 100% de la part universitaire du poste, calculée sur la base de la rémunération d’un CCU-MG</w:t>
      </w:r>
      <w:r>
        <w:rPr>
          <w:rStyle w:val="Appelnotedebasdep"/>
        </w:rPr>
        <w:footnoteReference w:id="1"/>
      </w:r>
      <w:r w:rsidR="00AA7BA2">
        <w:t xml:space="preserve"> premier échelon</w:t>
      </w:r>
      <w:r>
        <w:t xml:space="preserve">. Concrètement, l’ARS verse </w:t>
      </w:r>
      <w:r w:rsidRPr="00537AC2">
        <w:rPr>
          <w:b/>
          <w:u w:val="single"/>
        </w:rPr>
        <w:t xml:space="preserve">2000 </w:t>
      </w:r>
      <w:r w:rsidR="007A481D" w:rsidRPr="00537AC2">
        <w:rPr>
          <w:b/>
          <w:u w:val="single"/>
        </w:rPr>
        <w:t xml:space="preserve">euros </w:t>
      </w:r>
      <w:r w:rsidRPr="00537AC2">
        <w:rPr>
          <w:b/>
          <w:u w:val="single"/>
        </w:rPr>
        <w:t>par mois</w:t>
      </w:r>
      <w:r w:rsidRPr="00D31AEB">
        <w:rPr>
          <w:b/>
        </w:rPr>
        <w:t xml:space="preserve"> </w:t>
      </w:r>
      <w:r w:rsidRPr="00D31AEB">
        <w:t xml:space="preserve">et par </w:t>
      </w:r>
      <w:r w:rsidR="00B9365C" w:rsidRPr="00D31AEB">
        <w:t>Assistant Universitaire de Médecine Générale</w:t>
      </w:r>
      <w:r w:rsidR="00E24A16">
        <w:t>, sous condition de production des pièces justificatives mentionnées dans la convention</w:t>
      </w:r>
      <w:r w:rsidRPr="00D31AEB">
        <w:t xml:space="preserve">. </w:t>
      </w:r>
    </w:p>
    <w:p w14:paraId="7C4026DB" w14:textId="4FD238DE" w:rsidR="00A7454F" w:rsidRDefault="00A7454F" w:rsidP="00B77AB4">
      <w:pPr>
        <w:jc w:val="both"/>
      </w:pPr>
      <w:r w:rsidRPr="002C1831">
        <w:t>Attention : le versement de 2000</w:t>
      </w:r>
      <w:r w:rsidR="00490BF3" w:rsidRPr="002C1831">
        <w:t xml:space="preserve"> euros</w:t>
      </w:r>
      <w:r w:rsidRPr="002C1831">
        <w:t xml:space="preserve"> </w:t>
      </w:r>
      <w:r w:rsidR="002C1831">
        <w:t>est</w:t>
      </w:r>
      <w:r w:rsidRPr="002C1831">
        <w:t xml:space="preserve"> assuré pendant la durée </w:t>
      </w:r>
      <w:r w:rsidR="007A5D47" w:rsidRPr="002C1831">
        <w:t xml:space="preserve">du congé maternité. Par </w:t>
      </w:r>
      <w:r w:rsidR="0017489B" w:rsidRPr="002C1831">
        <w:t>contre,</w:t>
      </w:r>
      <w:r w:rsidR="007A5D47" w:rsidRPr="002C1831">
        <w:t xml:space="preserve"> la durée du congé maternité ne donne pas lieu à une prolongation de la convention. </w:t>
      </w:r>
    </w:p>
    <w:p w14:paraId="353CA70C" w14:textId="77777777" w:rsidR="003B42B6" w:rsidRPr="00DB0732" w:rsidRDefault="003B42B6" w:rsidP="003B42B6">
      <w:pPr>
        <w:spacing w:after="0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Le financement de l’ARS, dans le cadre du FIR ne pourra</w:t>
      </w:r>
      <w:r>
        <w:rPr>
          <w:rFonts w:cs="Calibri"/>
          <w:color w:val="000000"/>
        </w:rPr>
        <w:t xml:space="preserve"> </w:t>
      </w:r>
      <w:r w:rsidRPr="00DB0732">
        <w:rPr>
          <w:rFonts w:cs="Calibri"/>
          <w:color w:val="000000"/>
        </w:rPr>
        <w:t xml:space="preserve">être versé que sur présentation des justificatifs d’activité dans les deux établissements </w:t>
      </w:r>
      <w:r w:rsidRPr="005D2062">
        <w:rPr>
          <w:rFonts w:cs="Calibri"/>
          <w:b/>
          <w:color w:val="000000"/>
          <w:u w:val="single"/>
        </w:rPr>
        <w:t>par l’établissement recruteur dans les délais imposés par l’ARS</w:t>
      </w:r>
      <w:r w:rsidRPr="00DB0732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Le versement des crédits est conditionné à la production des pièces justificatives aux dates précisées ci-dessous. </w:t>
      </w:r>
    </w:p>
    <w:p w14:paraId="44471866" w14:textId="77777777" w:rsidR="003B42B6" w:rsidRDefault="003B42B6" w:rsidP="003B42B6">
      <w:pPr>
        <w:spacing w:after="0"/>
        <w:jc w:val="both"/>
        <w:rPr>
          <w:rFonts w:cs="Calibri"/>
          <w:color w:val="000000"/>
        </w:rPr>
      </w:pPr>
    </w:p>
    <w:p w14:paraId="72E15A30" w14:textId="17B77170" w:rsidR="003B42B6" w:rsidRDefault="003B42B6" w:rsidP="003B42B6">
      <w:pPr>
        <w:spacing w:after="0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Les justificatifs demandés sont :</w:t>
      </w:r>
    </w:p>
    <w:p w14:paraId="1E7945AC" w14:textId="77777777" w:rsidR="003B42B6" w:rsidRPr="00DB0732" w:rsidRDefault="003B42B6" w:rsidP="003B42B6">
      <w:pPr>
        <w:spacing w:after="0"/>
        <w:jc w:val="both"/>
        <w:rPr>
          <w:rFonts w:cs="Calibri"/>
          <w:color w:val="000000"/>
        </w:rPr>
      </w:pPr>
    </w:p>
    <w:p w14:paraId="4A4DD3AE" w14:textId="374B1D6C" w:rsidR="003B42B6" w:rsidRPr="0001531E" w:rsidRDefault="003B42B6" w:rsidP="003B42B6">
      <w:pPr>
        <w:numPr>
          <w:ilvl w:val="0"/>
          <w:numId w:val="12"/>
        </w:numPr>
        <w:spacing w:after="0"/>
        <w:jc w:val="both"/>
        <w:rPr>
          <w:rFonts w:cs="Calibri"/>
          <w:b/>
          <w:color w:val="000000"/>
          <w:u w:val="single"/>
        </w:rPr>
      </w:pPr>
      <w:r w:rsidRPr="0001531E">
        <w:rPr>
          <w:rFonts w:cs="Calibri"/>
          <w:b/>
          <w:color w:val="000000"/>
          <w:u w:val="single"/>
        </w:rPr>
        <w:t>A la prise de poste </w:t>
      </w:r>
      <w:r>
        <w:rPr>
          <w:rFonts w:cs="Calibri"/>
          <w:b/>
          <w:color w:val="000000"/>
          <w:u w:val="single"/>
        </w:rPr>
        <w:t>(au plus vite et dans tous les cas avant le 3</w:t>
      </w:r>
      <w:r w:rsidR="006D0361">
        <w:rPr>
          <w:rFonts w:cs="Calibri"/>
          <w:b/>
          <w:color w:val="000000"/>
          <w:u w:val="single"/>
        </w:rPr>
        <w:t xml:space="preserve">1 janvier 2024 </w:t>
      </w:r>
      <w:r w:rsidRPr="0001531E">
        <w:rPr>
          <w:rFonts w:cs="Calibri"/>
          <w:b/>
          <w:color w:val="000000"/>
          <w:u w:val="single"/>
        </w:rPr>
        <w:t xml:space="preserve">: </w:t>
      </w:r>
    </w:p>
    <w:p w14:paraId="26BE97F3" w14:textId="134D471B" w:rsidR="003B42B6" w:rsidRPr="00DB0732" w:rsidRDefault="003B42B6" w:rsidP="003B42B6">
      <w:pPr>
        <w:numPr>
          <w:ilvl w:val="1"/>
          <w:numId w:val="14"/>
        </w:numPr>
        <w:spacing w:after="0"/>
        <w:ind w:left="426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Attes</w:t>
      </w:r>
      <w:r w:rsidR="0014372B">
        <w:rPr>
          <w:rFonts w:cs="Calibri"/>
          <w:color w:val="000000"/>
        </w:rPr>
        <w:t xml:space="preserve">tation de prise de poste dans le DMG de l’université </w:t>
      </w:r>
      <w:r w:rsidRPr="00DB0732">
        <w:rPr>
          <w:rFonts w:cs="Calibri"/>
          <w:color w:val="000000"/>
        </w:rPr>
        <w:t>ou premier bulletin de salaire</w:t>
      </w:r>
    </w:p>
    <w:p w14:paraId="78D801AB" w14:textId="2D1A681E" w:rsidR="003B42B6" w:rsidRPr="00DB0732" w:rsidRDefault="003B42B6" w:rsidP="003B42B6">
      <w:pPr>
        <w:numPr>
          <w:ilvl w:val="1"/>
          <w:numId w:val="14"/>
        </w:numPr>
        <w:spacing w:after="0"/>
        <w:ind w:left="426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Attestation de prise de poste dans l</w:t>
      </w:r>
      <w:r w:rsidR="0014372B">
        <w:rPr>
          <w:rFonts w:cs="Calibri"/>
          <w:color w:val="000000"/>
        </w:rPr>
        <w:t>a structure ambulatoire</w:t>
      </w:r>
    </w:p>
    <w:p w14:paraId="11C4E666" w14:textId="48DF0A78" w:rsidR="003B42B6" w:rsidRPr="0014372B" w:rsidRDefault="0014372B" w:rsidP="003B42B6">
      <w:pPr>
        <w:numPr>
          <w:ilvl w:val="1"/>
          <w:numId w:val="14"/>
        </w:numPr>
        <w:spacing w:after="0"/>
        <w:ind w:left="426"/>
        <w:jc w:val="both"/>
        <w:rPr>
          <w:rFonts w:eastAsia="Times New Roman" w:cs="Calibri"/>
          <w:color w:val="000000"/>
        </w:rPr>
      </w:pPr>
      <w:r>
        <w:rPr>
          <w:rFonts w:cs="Calibri"/>
          <w:color w:val="000000"/>
        </w:rPr>
        <w:lastRenderedPageBreak/>
        <w:t>I</w:t>
      </w:r>
      <w:r w:rsidR="003B42B6" w:rsidRPr="00DB0732">
        <w:rPr>
          <w:rFonts w:cs="Calibri"/>
          <w:color w:val="000000"/>
        </w:rPr>
        <w:t>nscription</w:t>
      </w:r>
      <w:bookmarkStart w:id="0" w:name="page4"/>
      <w:bookmarkEnd w:id="0"/>
      <w:r w:rsidR="003B42B6" w:rsidRPr="00DB0732">
        <w:rPr>
          <w:rFonts w:cs="Calibri"/>
          <w:color w:val="000000"/>
        </w:rPr>
        <w:t xml:space="preserve"> ordinale </w:t>
      </w:r>
      <w:r w:rsidR="003B42B6" w:rsidRPr="00DB0732">
        <w:rPr>
          <w:rFonts w:cs="Calibri"/>
          <w:b/>
          <w:color w:val="000000"/>
        </w:rPr>
        <w:t>définitive</w:t>
      </w:r>
      <w:r w:rsidR="003B42B6" w:rsidRPr="00DB073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du praticien</w:t>
      </w:r>
    </w:p>
    <w:p w14:paraId="12E4FC42" w14:textId="77777777" w:rsidR="0014372B" w:rsidRPr="00DB0732" w:rsidRDefault="0014372B" w:rsidP="0014372B">
      <w:pPr>
        <w:spacing w:after="0"/>
        <w:ind w:left="426"/>
        <w:jc w:val="both"/>
        <w:rPr>
          <w:rFonts w:eastAsia="Times New Roman" w:cs="Calibri"/>
          <w:color w:val="000000"/>
        </w:rPr>
      </w:pPr>
    </w:p>
    <w:p w14:paraId="49C79279" w14:textId="77777777" w:rsidR="003B42B6" w:rsidRPr="0001531E" w:rsidRDefault="003B42B6" w:rsidP="003B42B6">
      <w:pPr>
        <w:numPr>
          <w:ilvl w:val="1"/>
          <w:numId w:val="13"/>
        </w:numPr>
        <w:spacing w:after="0"/>
        <w:jc w:val="both"/>
        <w:rPr>
          <w:rFonts w:eastAsia="Times New Roman" w:cs="Calibri"/>
          <w:b/>
          <w:color w:val="000000"/>
          <w:u w:val="single"/>
        </w:rPr>
      </w:pPr>
      <w:r w:rsidRPr="0001531E">
        <w:rPr>
          <w:rFonts w:cs="Calibri"/>
          <w:b/>
          <w:color w:val="000000"/>
          <w:u w:val="single"/>
        </w:rPr>
        <w:t>Tous les ans </w:t>
      </w:r>
      <w:r w:rsidRPr="0001531E">
        <w:rPr>
          <w:rFonts w:eastAsia="Times New Roman" w:cs="Calibri"/>
          <w:b/>
          <w:color w:val="000000"/>
          <w:u w:val="single"/>
        </w:rPr>
        <w:t>(</w:t>
      </w:r>
      <w:r w:rsidRPr="0001531E">
        <w:rPr>
          <w:rFonts w:cs="Calibri"/>
          <w:b/>
          <w:color w:val="000000"/>
          <w:u w:val="single"/>
        </w:rPr>
        <w:t>au plus tard le 31 mai de l’année en cours) :</w:t>
      </w:r>
    </w:p>
    <w:p w14:paraId="084B0760" w14:textId="77777777" w:rsidR="003B42B6" w:rsidRPr="00DB0732" w:rsidRDefault="003B42B6" w:rsidP="003B42B6">
      <w:pPr>
        <w:numPr>
          <w:ilvl w:val="1"/>
          <w:numId w:val="15"/>
        </w:numPr>
        <w:spacing w:after="0"/>
        <w:ind w:firstLine="364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Le dernier bulletin de salaire </w:t>
      </w:r>
    </w:p>
    <w:p w14:paraId="41669211" w14:textId="73C90D1C" w:rsidR="003B42B6" w:rsidRPr="0008001C" w:rsidRDefault="003B42B6" w:rsidP="003B42B6">
      <w:pPr>
        <w:numPr>
          <w:ilvl w:val="1"/>
          <w:numId w:val="15"/>
        </w:numPr>
        <w:spacing w:after="0"/>
        <w:ind w:firstLine="364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Une attestation de fonction de l</w:t>
      </w:r>
      <w:r w:rsidR="0014372B">
        <w:rPr>
          <w:rFonts w:cs="Calibri"/>
          <w:color w:val="000000"/>
        </w:rPr>
        <w:t xml:space="preserve">a structure ambulatoire </w:t>
      </w:r>
    </w:p>
    <w:p w14:paraId="31473288" w14:textId="77777777" w:rsidR="003B42B6" w:rsidRDefault="003B42B6" w:rsidP="003B42B6">
      <w:pPr>
        <w:spacing w:after="0"/>
        <w:jc w:val="both"/>
        <w:rPr>
          <w:rFonts w:cs="Calibri"/>
          <w:b/>
          <w:color w:val="FF0000"/>
        </w:rPr>
      </w:pPr>
    </w:p>
    <w:p w14:paraId="533A4465" w14:textId="77777777" w:rsidR="003B42B6" w:rsidRPr="006D0361" w:rsidRDefault="003B42B6" w:rsidP="003B42B6">
      <w:pPr>
        <w:spacing w:after="0"/>
        <w:jc w:val="both"/>
        <w:rPr>
          <w:rFonts w:cs="Calibri"/>
          <w:b/>
        </w:rPr>
      </w:pPr>
      <w:r w:rsidRPr="006D0361">
        <w:rPr>
          <w:rFonts w:cs="Calibri"/>
          <w:b/>
        </w:rPr>
        <w:t xml:space="preserve">Deux versements seront effectués sous condition de la production des pièces justificatives dans les délais mentionnés ci-dessus : </w:t>
      </w:r>
    </w:p>
    <w:p w14:paraId="59E59A76" w14:textId="1413A87C" w:rsidR="003B42B6" w:rsidRPr="006D0361" w:rsidRDefault="003B42B6" w:rsidP="00A71765">
      <w:pPr>
        <w:pStyle w:val="Paragraphedeliste"/>
        <w:numPr>
          <w:ilvl w:val="2"/>
          <w:numId w:val="15"/>
        </w:numPr>
        <w:spacing w:after="0"/>
        <w:jc w:val="both"/>
        <w:rPr>
          <w:rFonts w:cs="Calibri"/>
        </w:rPr>
      </w:pPr>
      <w:proofErr w:type="gramStart"/>
      <w:r w:rsidRPr="006D0361">
        <w:rPr>
          <w:rFonts w:cs="Calibri"/>
          <w:b/>
        </w:rPr>
        <w:t>le</w:t>
      </w:r>
      <w:proofErr w:type="gramEnd"/>
      <w:r w:rsidRPr="006D0361">
        <w:rPr>
          <w:rFonts w:cs="Calibri"/>
          <w:b/>
        </w:rPr>
        <w:t xml:space="preserve"> 1</w:t>
      </w:r>
      <w:r w:rsidRPr="006D0361">
        <w:rPr>
          <w:rFonts w:cs="Calibri"/>
          <w:b/>
          <w:vertAlign w:val="superscript"/>
        </w:rPr>
        <w:t>er</w:t>
      </w:r>
      <w:r w:rsidRPr="006D0361">
        <w:rPr>
          <w:rFonts w:cs="Calibri"/>
          <w:b/>
        </w:rPr>
        <w:t xml:space="preserve"> financement des </w:t>
      </w:r>
      <w:r w:rsidR="006D0361" w:rsidRPr="006D0361">
        <w:rPr>
          <w:rFonts w:cs="Calibri"/>
          <w:b/>
        </w:rPr>
        <w:t>2 premiers mois au 1er s</w:t>
      </w:r>
      <w:r w:rsidRPr="006D0361">
        <w:rPr>
          <w:rFonts w:cs="Calibri"/>
          <w:b/>
        </w:rPr>
        <w:t>emestre de l’année 2024</w:t>
      </w:r>
    </w:p>
    <w:p w14:paraId="5F9AC8FE" w14:textId="209EAF87" w:rsidR="003B42B6" w:rsidRPr="006D0361" w:rsidRDefault="003B42B6" w:rsidP="00A71765">
      <w:pPr>
        <w:pStyle w:val="Paragraphedeliste"/>
        <w:numPr>
          <w:ilvl w:val="2"/>
          <w:numId w:val="15"/>
        </w:numPr>
        <w:spacing w:after="0"/>
        <w:jc w:val="both"/>
        <w:rPr>
          <w:rFonts w:cs="Calibri"/>
        </w:rPr>
      </w:pPr>
      <w:proofErr w:type="gramStart"/>
      <w:r w:rsidRPr="006D0361">
        <w:rPr>
          <w:rFonts w:cs="Calibri"/>
          <w:b/>
        </w:rPr>
        <w:t>le</w:t>
      </w:r>
      <w:proofErr w:type="gramEnd"/>
      <w:r w:rsidRPr="006D0361">
        <w:rPr>
          <w:rFonts w:cs="Calibri"/>
          <w:b/>
        </w:rPr>
        <w:t xml:space="preserve"> 2</w:t>
      </w:r>
      <w:r w:rsidRPr="006D0361">
        <w:rPr>
          <w:rFonts w:cs="Calibri"/>
          <w:b/>
          <w:vertAlign w:val="superscript"/>
        </w:rPr>
        <w:t>nd</w:t>
      </w:r>
      <w:r w:rsidRPr="006D0361">
        <w:rPr>
          <w:rFonts w:cs="Calibri"/>
          <w:b/>
        </w:rPr>
        <w:t xml:space="preserve"> financement des 1</w:t>
      </w:r>
      <w:r w:rsidR="006D0361" w:rsidRPr="006D0361">
        <w:rPr>
          <w:rFonts w:cs="Calibri"/>
          <w:b/>
        </w:rPr>
        <w:t>2</w:t>
      </w:r>
      <w:r w:rsidRPr="006D0361">
        <w:rPr>
          <w:rFonts w:cs="Calibri"/>
          <w:b/>
        </w:rPr>
        <w:t xml:space="preserve"> derniers mois au </w:t>
      </w:r>
      <w:r w:rsidR="006D0361" w:rsidRPr="006D0361">
        <w:rPr>
          <w:rFonts w:cs="Calibri"/>
          <w:b/>
        </w:rPr>
        <w:t>2</w:t>
      </w:r>
      <w:r w:rsidR="006D0361" w:rsidRPr="006D0361">
        <w:rPr>
          <w:rFonts w:cs="Calibri"/>
          <w:b/>
          <w:vertAlign w:val="superscript"/>
        </w:rPr>
        <w:t>ème</w:t>
      </w:r>
      <w:r w:rsidR="006D0361" w:rsidRPr="006D0361">
        <w:rPr>
          <w:rFonts w:cs="Calibri"/>
          <w:b/>
        </w:rPr>
        <w:t xml:space="preserve"> semestre de l’année 2024</w:t>
      </w:r>
      <w:r w:rsidRPr="006D0361">
        <w:rPr>
          <w:rFonts w:cs="Calibri"/>
          <w:b/>
        </w:rPr>
        <w:t>.</w:t>
      </w:r>
    </w:p>
    <w:p w14:paraId="02C0954E" w14:textId="34FE060D" w:rsidR="006D0361" w:rsidRPr="006D0361" w:rsidRDefault="006D0361" w:rsidP="00A71765">
      <w:pPr>
        <w:pStyle w:val="Paragraphedeliste"/>
        <w:numPr>
          <w:ilvl w:val="2"/>
          <w:numId w:val="15"/>
        </w:numPr>
        <w:spacing w:after="0"/>
        <w:jc w:val="both"/>
        <w:rPr>
          <w:rFonts w:cs="Calibri"/>
        </w:rPr>
      </w:pPr>
      <w:proofErr w:type="gramStart"/>
      <w:r>
        <w:rPr>
          <w:rFonts w:cs="Calibri"/>
          <w:b/>
        </w:rPr>
        <w:t>l</w:t>
      </w:r>
      <w:r w:rsidRPr="006D0361">
        <w:rPr>
          <w:rFonts w:cs="Calibri"/>
          <w:b/>
        </w:rPr>
        <w:t>e</w:t>
      </w:r>
      <w:proofErr w:type="gramEnd"/>
      <w:r w:rsidRPr="006D0361">
        <w:rPr>
          <w:rFonts w:cs="Calibri"/>
          <w:b/>
        </w:rPr>
        <w:t xml:space="preserve"> 3</w:t>
      </w:r>
      <w:r w:rsidRPr="006D0361">
        <w:rPr>
          <w:rFonts w:cs="Calibri"/>
          <w:b/>
          <w:vertAlign w:val="superscript"/>
        </w:rPr>
        <w:t>ème</w:t>
      </w:r>
      <w:r w:rsidRPr="006D0361">
        <w:rPr>
          <w:rFonts w:cs="Calibri"/>
          <w:b/>
        </w:rPr>
        <w:t xml:space="preserve"> versement des 10 derniers mois au 2</w:t>
      </w:r>
      <w:r w:rsidRPr="006D0361">
        <w:rPr>
          <w:rFonts w:cs="Calibri"/>
          <w:b/>
          <w:vertAlign w:val="superscript"/>
        </w:rPr>
        <w:t>ème</w:t>
      </w:r>
      <w:r w:rsidRPr="006D0361">
        <w:rPr>
          <w:rFonts w:cs="Calibri"/>
          <w:b/>
        </w:rPr>
        <w:t xml:space="preserve"> semestre de l’année 2025.</w:t>
      </w:r>
    </w:p>
    <w:p w14:paraId="501D9FE6" w14:textId="77777777" w:rsidR="003B42B6" w:rsidRDefault="003B42B6" w:rsidP="003B42B6"/>
    <w:p w14:paraId="2F6F517A" w14:textId="631A3773" w:rsidR="00FC1160" w:rsidRPr="00F72321" w:rsidRDefault="00FC1160" w:rsidP="00B77AB4">
      <w:pPr>
        <w:jc w:val="both"/>
        <w:rPr>
          <w:b/>
          <w:color w:val="0070C0"/>
          <w:u w:val="single"/>
        </w:rPr>
      </w:pPr>
      <w:r w:rsidRPr="00F72321">
        <w:rPr>
          <w:b/>
          <w:color w:val="0070C0"/>
          <w:u w:val="single"/>
        </w:rPr>
        <w:t xml:space="preserve">5-Modalités administratives pour la prise en charge du recrutement </w:t>
      </w:r>
    </w:p>
    <w:p w14:paraId="5C95898A" w14:textId="5CBB58FD" w:rsidR="00705E76" w:rsidRDefault="00705E76" w:rsidP="00B77AB4">
      <w:pPr>
        <w:jc w:val="both"/>
      </w:pPr>
      <w:r>
        <w:t>-Une convention entre l’A</w:t>
      </w:r>
      <w:r w:rsidR="00B9365C">
        <w:t xml:space="preserve">gence </w:t>
      </w:r>
      <w:r>
        <w:t>R</w:t>
      </w:r>
      <w:r w:rsidR="00B9365C">
        <w:t xml:space="preserve">égionale de </w:t>
      </w:r>
      <w:r>
        <w:t>S</w:t>
      </w:r>
      <w:r w:rsidR="00B9365C">
        <w:t>anté d’</w:t>
      </w:r>
      <w:r>
        <w:t>I</w:t>
      </w:r>
      <w:r w:rsidR="00B9365C">
        <w:t>le-</w:t>
      </w:r>
      <w:r>
        <w:t>D</w:t>
      </w:r>
      <w:r w:rsidR="00B9365C">
        <w:t>e-</w:t>
      </w:r>
      <w:r>
        <w:t>F</w:t>
      </w:r>
      <w:r w:rsidR="00B9365C">
        <w:t>rance</w:t>
      </w:r>
      <w:r>
        <w:t xml:space="preserve"> et l’Université</w:t>
      </w:r>
    </w:p>
    <w:p w14:paraId="6FCA5343" w14:textId="442F9E47" w:rsidR="00060658" w:rsidRDefault="00087B2F" w:rsidP="00B77AB4">
      <w:pPr>
        <w:jc w:val="both"/>
      </w:pPr>
      <w:r>
        <w:t>-Et deux évaluations qualitatives au cours des deux années de contrat et de fonction pour le suivi du dispositif et de</w:t>
      </w:r>
      <w:r w:rsidR="000C568F">
        <w:t xml:space="preserve">s activités remplies par les </w:t>
      </w:r>
      <w:r w:rsidR="00B9365C">
        <w:t>Assistants Universitaires de Médecine Générale</w:t>
      </w:r>
      <w:r>
        <w:t xml:space="preserve"> recrutés. </w:t>
      </w:r>
    </w:p>
    <w:p w14:paraId="36315914" w14:textId="578815F8" w:rsidR="00A146CF" w:rsidRPr="00F72321" w:rsidRDefault="00422F45" w:rsidP="00B77AB4">
      <w:pPr>
        <w:jc w:val="both"/>
        <w:rPr>
          <w:b/>
          <w:color w:val="0070C0"/>
          <w:u w:val="single"/>
        </w:rPr>
      </w:pPr>
      <w:r w:rsidRPr="00F72321">
        <w:rPr>
          <w:b/>
          <w:color w:val="0070C0"/>
          <w:u w:val="single"/>
        </w:rPr>
        <w:t xml:space="preserve">6-Calendrier </w:t>
      </w:r>
    </w:p>
    <w:tbl>
      <w:tblPr>
        <w:tblStyle w:val="Grilledutableau"/>
        <w:tblpPr w:leftFromText="141" w:rightFromText="141" w:vertAnchor="text" w:horzAnchor="margin" w:tblpY="28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45"/>
        <w:gridCol w:w="5017"/>
      </w:tblGrid>
      <w:tr w:rsidR="00422F45" w:rsidRPr="00886D99" w14:paraId="09533898" w14:textId="77777777" w:rsidTr="00A146CF">
        <w:tc>
          <w:tcPr>
            <w:tcW w:w="4077" w:type="dxa"/>
            <w:shd w:val="clear" w:color="auto" w:fill="EAF1DD" w:themeFill="accent3" w:themeFillTint="33"/>
          </w:tcPr>
          <w:p w14:paraId="70609057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  <w:p w14:paraId="438E553D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  <w:r w:rsidRPr="00A146CF">
              <w:rPr>
                <w:b/>
              </w:rPr>
              <w:t>Dépôt des candidatures en ligne</w:t>
            </w:r>
          </w:p>
          <w:p w14:paraId="4668D3E9" w14:textId="77777777" w:rsidR="00422F45" w:rsidRPr="00A146CF" w:rsidRDefault="00422F45" w:rsidP="00242E01">
            <w:pPr>
              <w:pStyle w:val="Paragraphedeliste"/>
              <w:ind w:left="0"/>
              <w:jc w:val="both"/>
              <w:rPr>
                <w:b/>
                <w:i/>
              </w:rPr>
            </w:pPr>
          </w:p>
        </w:tc>
        <w:tc>
          <w:tcPr>
            <w:tcW w:w="5059" w:type="dxa"/>
            <w:shd w:val="clear" w:color="auto" w:fill="EAF1DD" w:themeFill="accent3" w:themeFillTint="33"/>
          </w:tcPr>
          <w:p w14:paraId="3E9667D0" w14:textId="77777777" w:rsidR="00422F45" w:rsidRPr="00DD7686" w:rsidRDefault="00422F45" w:rsidP="00B77AB4">
            <w:pPr>
              <w:pStyle w:val="Paragraphedeliste"/>
              <w:ind w:left="0"/>
              <w:jc w:val="both"/>
              <w:rPr>
                <w:b/>
                <w:sz w:val="20"/>
                <w:szCs w:val="20"/>
              </w:rPr>
            </w:pPr>
          </w:p>
          <w:p w14:paraId="2B196C0F" w14:textId="7DCAFFAC" w:rsidR="007F4A51" w:rsidRPr="00DD7686" w:rsidRDefault="00866460" w:rsidP="006D0361">
            <w:pPr>
              <w:pStyle w:val="Paragraphedeliste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DD7686">
              <w:rPr>
                <w:b/>
                <w:sz w:val="24"/>
                <w:szCs w:val="24"/>
                <w:u w:val="single"/>
              </w:rPr>
              <w:t xml:space="preserve"> </w:t>
            </w:r>
            <w:r w:rsidR="00DE2D0C" w:rsidRPr="006D0361">
              <w:rPr>
                <w:b/>
                <w:color w:val="FF0000"/>
                <w:sz w:val="24"/>
                <w:szCs w:val="24"/>
                <w:u w:val="single"/>
              </w:rPr>
              <w:t xml:space="preserve">Jusqu’au </w:t>
            </w:r>
            <w:r w:rsidR="006D0361" w:rsidRPr="006D0361">
              <w:rPr>
                <w:b/>
                <w:color w:val="FF0000"/>
                <w:sz w:val="24"/>
                <w:szCs w:val="24"/>
                <w:u w:val="single"/>
              </w:rPr>
              <w:t>22</w:t>
            </w:r>
            <w:r w:rsidR="00DD7686" w:rsidRPr="006D0361">
              <w:rPr>
                <w:b/>
                <w:color w:val="FF0000"/>
                <w:sz w:val="24"/>
                <w:szCs w:val="24"/>
                <w:u w:val="single"/>
              </w:rPr>
              <w:t xml:space="preserve"> mai</w:t>
            </w:r>
            <w:r w:rsidR="00537AC2" w:rsidRPr="006D0361">
              <w:rPr>
                <w:b/>
                <w:color w:val="FF0000"/>
                <w:sz w:val="24"/>
                <w:szCs w:val="24"/>
                <w:u w:val="single"/>
              </w:rPr>
              <w:t xml:space="preserve"> 2023</w:t>
            </w:r>
            <w:r w:rsidR="006D0361" w:rsidRPr="006D0361">
              <w:rPr>
                <w:b/>
                <w:color w:val="FF0000"/>
                <w:sz w:val="24"/>
                <w:szCs w:val="24"/>
                <w:u w:val="single"/>
              </w:rPr>
              <w:t>, délai de rigueur</w:t>
            </w:r>
          </w:p>
        </w:tc>
      </w:tr>
      <w:tr w:rsidR="00422F45" w:rsidRPr="00886D99" w14:paraId="6DA90150" w14:textId="77777777" w:rsidTr="00A146CF">
        <w:tc>
          <w:tcPr>
            <w:tcW w:w="4077" w:type="dxa"/>
            <w:shd w:val="clear" w:color="auto" w:fill="EAF1DD" w:themeFill="accent3" w:themeFillTint="33"/>
          </w:tcPr>
          <w:p w14:paraId="58AEDB16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  <w:p w14:paraId="4717B9DA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  <w:r w:rsidRPr="00A146CF">
              <w:rPr>
                <w:b/>
              </w:rPr>
              <w:t>Jury de sélection</w:t>
            </w:r>
          </w:p>
          <w:p w14:paraId="7441B862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059" w:type="dxa"/>
            <w:shd w:val="clear" w:color="auto" w:fill="EAF1DD" w:themeFill="accent3" w:themeFillTint="33"/>
          </w:tcPr>
          <w:p w14:paraId="184B7FCA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  <w:strike/>
                <w:sz w:val="20"/>
                <w:szCs w:val="20"/>
              </w:rPr>
            </w:pPr>
          </w:p>
          <w:p w14:paraId="23722959" w14:textId="02C22E2C" w:rsidR="007F4A51" w:rsidRPr="00A146CF" w:rsidRDefault="00DD7686" w:rsidP="006D0361">
            <w:pPr>
              <w:pStyle w:val="Paragraphedeliste"/>
              <w:ind w:left="0"/>
              <w:jc w:val="both"/>
              <w:rPr>
                <w:b/>
                <w:sz w:val="20"/>
                <w:szCs w:val="20"/>
              </w:rPr>
            </w:pPr>
            <w:r w:rsidRPr="00DD7686">
              <w:rPr>
                <w:b/>
                <w:sz w:val="20"/>
                <w:szCs w:val="20"/>
              </w:rPr>
              <w:t xml:space="preserve">A partir de la </w:t>
            </w:r>
            <w:r w:rsidR="00537AC2" w:rsidRPr="00DD7686">
              <w:rPr>
                <w:b/>
                <w:sz w:val="20"/>
                <w:szCs w:val="20"/>
              </w:rPr>
              <w:t>Semaine du 1</w:t>
            </w:r>
            <w:r w:rsidR="006D0361">
              <w:rPr>
                <w:b/>
                <w:sz w:val="20"/>
                <w:szCs w:val="20"/>
              </w:rPr>
              <w:t>9</w:t>
            </w:r>
            <w:r w:rsidR="00537AC2" w:rsidRPr="00DD7686">
              <w:rPr>
                <w:b/>
                <w:sz w:val="20"/>
                <w:szCs w:val="20"/>
              </w:rPr>
              <w:t xml:space="preserve"> juin 2023</w:t>
            </w:r>
          </w:p>
        </w:tc>
      </w:tr>
      <w:tr w:rsidR="00422F45" w:rsidRPr="00886D99" w14:paraId="708BC7FA" w14:textId="77777777" w:rsidTr="00A146CF">
        <w:tc>
          <w:tcPr>
            <w:tcW w:w="4077" w:type="dxa"/>
            <w:shd w:val="clear" w:color="auto" w:fill="EAF1DD" w:themeFill="accent3" w:themeFillTint="33"/>
          </w:tcPr>
          <w:p w14:paraId="07A44CEE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  <w:p w14:paraId="45280B78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  <w:r w:rsidRPr="00A146CF">
              <w:rPr>
                <w:b/>
              </w:rPr>
              <w:t xml:space="preserve">Notification des décisions </w:t>
            </w:r>
          </w:p>
          <w:p w14:paraId="2C4CDF99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059" w:type="dxa"/>
            <w:shd w:val="clear" w:color="auto" w:fill="EAF1DD" w:themeFill="accent3" w:themeFillTint="33"/>
          </w:tcPr>
          <w:p w14:paraId="1C2AC4BB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  <w:strike/>
                <w:sz w:val="20"/>
                <w:szCs w:val="20"/>
              </w:rPr>
            </w:pPr>
          </w:p>
          <w:p w14:paraId="2FC9ECBC" w14:textId="73B8664B" w:rsidR="00422F45" w:rsidRPr="00A146CF" w:rsidRDefault="00537AC2" w:rsidP="00B77AB4">
            <w:pPr>
              <w:pStyle w:val="Paragraphedeliste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  <w:r w:rsidRPr="00A146CF">
              <w:rPr>
                <w:b/>
                <w:sz w:val="20"/>
                <w:szCs w:val="20"/>
              </w:rPr>
              <w:t>A</w:t>
            </w:r>
            <w:r w:rsidR="00A346E5" w:rsidRPr="00A146CF">
              <w:rPr>
                <w:b/>
                <w:sz w:val="20"/>
                <w:szCs w:val="20"/>
              </w:rPr>
              <w:t>près le jury de sélection</w:t>
            </w:r>
          </w:p>
        </w:tc>
      </w:tr>
      <w:tr w:rsidR="00422F45" w:rsidRPr="00886D99" w14:paraId="7B297201" w14:textId="77777777" w:rsidTr="00A146CF">
        <w:tc>
          <w:tcPr>
            <w:tcW w:w="4077" w:type="dxa"/>
            <w:shd w:val="clear" w:color="auto" w:fill="EAF1DD" w:themeFill="accent3" w:themeFillTint="33"/>
          </w:tcPr>
          <w:p w14:paraId="3D83C04D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  <w:p w14:paraId="027514D5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  <w:r w:rsidRPr="00A146CF">
              <w:rPr>
                <w:b/>
              </w:rPr>
              <w:t>Prise de poste</w:t>
            </w:r>
          </w:p>
          <w:p w14:paraId="60ACCE19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059" w:type="dxa"/>
            <w:shd w:val="clear" w:color="auto" w:fill="EAF1DD" w:themeFill="accent3" w:themeFillTint="33"/>
          </w:tcPr>
          <w:p w14:paraId="606B810E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  <w:sz w:val="20"/>
                <w:szCs w:val="20"/>
              </w:rPr>
            </w:pPr>
            <w:r w:rsidRPr="00A146CF">
              <w:rPr>
                <w:b/>
                <w:sz w:val="20"/>
                <w:szCs w:val="20"/>
              </w:rPr>
              <w:t xml:space="preserve"> </w:t>
            </w:r>
          </w:p>
          <w:p w14:paraId="1742DD1D" w14:textId="30FBD940" w:rsidR="007F4A51" w:rsidRPr="00A146CF" w:rsidRDefault="007F4A51" w:rsidP="00DE2D0C">
            <w:pPr>
              <w:pStyle w:val="Paragraphedeliste"/>
              <w:ind w:left="0"/>
              <w:jc w:val="both"/>
              <w:rPr>
                <w:b/>
                <w:sz w:val="20"/>
                <w:szCs w:val="20"/>
              </w:rPr>
            </w:pPr>
            <w:r w:rsidRPr="00A146CF">
              <w:rPr>
                <w:b/>
                <w:sz w:val="20"/>
                <w:szCs w:val="20"/>
              </w:rPr>
              <w:t>1</w:t>
            </w:r>
            <w:r w:rsidRPr="00A146CF">
              <w:rPr>
                <w:b/>
                <w:sz w:val="20"/>
                <w:szCs w:val="20"/>
                <w:vertAlign w:val="superscript"/>
              </w:rPr>
              <w:t>er</w:t>
            </w:r>
            <w:r w:rsidR="00B573D2" w:rsidRPr="00A146CF">
              <w:rPr>
                <w:b/>
                <w:sz w:val="20"/>
                <w:szCs w:val="20"/>
              </w:rPr>
              <w:t xml:space="preserve"> Novembre 20</w:t>
            </w:r>
            <w:r w:rsidR="00537AC2" w:rsidRPr="00A146CF">
              <w:rPr>
                <w:b/>
                <w:sz w:val="20"/>
                <w:szCs w:val="20"/>
              </w:rPr>
              <w:t>23</w:t>
            </w:r>
          </w:p>
        </w:tc>
      </w:tr>
      <w:tr w:rsidR="00422F45" w:rsidRPr="00886D99" w14:paraId="538C60C8" w14:textId="77777777" w:rsidTr="00A146CF">
        <w:tc>
          <w:tcPr>
            <w:tcW w:w="4077" w:type="dxa"/>
            <w:shd w:val="clear" w:color="auto" w:fill="EAF1DD" w:themeFill="accent3" w:themeFillTint="33"/>
          </w:tcPr>
          <w:p w14:paraId="000793B8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  <w:p w14:paraId="3DBA96FE" w14:textId="77777777" w:rsidR="00422F45" w:rsidRPr="00A146CF" w:rsidRDefault="00831C11" w:rsidP="00B77AB4">
            <w:pPr>
              <w:pStyle w:val="Paragraphedeliste"/>
              <w:ind w:left="0"/>
              <w:jc w:val="both"/>
              <w:rPr>
                <w:b/>
              </w:rPr>
            </w:pPr>
            <w:r w:rsidRPr="00A146CF">
              <w:rPr>
                <w:b/>
              </w:rPr>
              <w:t>AUMG</w:t>
            </w:r>
            <w:r w:rsidR="00422F45" w:rsidRPr="00A146CF">
              <w:rPr>
                <w:b/>
              </w:rPr>
              <w:t xml:space="preserve"> en fonction </w:t>
            </w:r>
          </w:p>
          <w:p w14:paraId="3A3F5B01" w14:textId="77777777" w:rsidR="00422F45" w:rsidRPr="00A146CF" w:rsidRDefault="00422F45" w:rsidP="00B77AB4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059" w:type="dxa"/>
            <w:shd w:val="clear" w:color="auto" w:fill="EAF1DD" w:themeFill="accent3" w:themeFillTint="33"/>
          </w:tcPr>
          <w:p w14:paraId="40067A3E" w14:textId="5566EF2E" w:rsidR="007F4A51" w:rsidRPr="00A146CF" w:rsidRDefault="007F4A51" w:rsidP="00185870">
            <w:pPr>
              <w:pStyle w:val="Paragraphedeliste"/>
              <w:ind w:left="0"/>
              <w:jc w:val="both"/>
              <w:rPr>
                <w:b/>
                <w:sz w:val="20"/>
                <w:szCs w:val="20"/>
              </w:rPr>
            </w:pPr>
            <w:r w:rsidRPr="00A146CF">
              <w:rPr>
                <w:b/>
                <w:sz w:val="20"/>
                <w:szCs w:val="20"/>
              </w:rPr>
              <w:t>Du 1</w:t>
            </w:r>
            <w:r w:rsidRPr="00A146CF">
              <w:rPr>
                <w:b/>
                <w:sz w:val="20"/>
                <w:szCs w:val="20"/>
                <w:vertAlign w:val="superscript"/>
              </w:rPr>
              <w:t>er</w:t>
            </w:r>
            <w:r w:rsidR="00B573D2" w:rsidRPr="00A146CF">
              <w:rPr>
                <w:b/>
                <w:sz w:val="20"/>
                <w:szCs w:val="20"/>
              </w:rPr>
              <w:t xml:space="preserve"> Novembre 20</w:t>
            </w:r>
            <w:r w:rsidR="00537AC2" w:rsidRPr="00A146CF">
              <w:rPr>
                <w:b/>
                <w:sz w:val="20"/>
                <w:szCs w:val="20"/>
              </w:rPr>
              <w:t>23</w:t>
            </w:r>
            <w:r w:rsidR="00B573D2" w:rsidRPr="00A146CF">
              <w:rPr>
                <w:b/>
                <w:sz w:val="20"/>
                <w:szCs w:val="20"/>
              </w:rPr>
              <w:t xml:space="preserve"> au 31 Octobre 202</w:t>
            </w:r>
            <w:r w:rsidR="00537AC2" w:rsidRPr="00A146CF">
              <w:rPr>
                <w:b/>
                <w:sz w:val="20"/>
                <w:szCs w:val="20"/>
              </w:rPr>
              <w:t>5</w:t>
            </w:r>
            <w:r w:rsidR="00A346E5" w:rsidRPr="00A146CF">
              <w:rPr>
                <w:b/>
                <w:sz w:val="20"/>
                <w:szCs w:val="20"/>
              </w:rPr>
              <w:t xml:space="preserve"> si primo-recrutement et du 1</w:t>
            </w:r>
            <w:r w:rsidR="00A346E5" w:rsidRPr="00A146CF">
              <w:rPr>
                <w:b/>
                <w:sz w:val="20"/>
                <w:szCs w:val="20"/>
                <w:vertAlign w:val="superscript"/>
              </w:rPr>
              <w:t>er</w:t>
            </w:r>
            <w:r w:rsidR="00B573D2" w:rsidRPr="00A146CF">
              <w:rPr>
                <w:b/>
                <w:sz w:val="20"/>
                <w:szCs w:val="20"/>
              </w:rPr>
              <w:t xml:space="preserve"> </w:t>
            </w:r>
            <w:r w:rsidR="00C721AA" w:rsidRPr="00A146CF">
              <w:rPr>
                <w:b/>
                <w:sz w:val="20"/>
                <w:szCs w:val="20"/>
              </w:rPr>
              <w:t>Novembre 20</w:t>
            </w:r>
            <w:r w:rsidR="00537AC2" w:rsidRPr="00A146CF">
              <w:rPr>
                <w:b/>
                <w:sz w:val="20"/>
                <w:szCs w:val="20"/>
              </w:rPr>
              <w:t>23</w:t>
            </w:r>
            <w:r w:rsidR="00C721AA" w:rsidRPr="00A146CF">
              <w:rPr>
                <w:b/>
                <w:sz w:val="20"/>
                <w:szCs w:val="20"/>
              </w:rPr>
              <w:t xml:space="preserve"> au 31 Octobre 202</w:t>
            </w:r>
            <w:r w:rsidR="00537AC2" w:rsidRPr="00A146CF">
              <w:rPr>
                <w:b/>
                <w:sz w:val="20"/>
                <w:szCs w:val="20"/>
              </w:rPr>
              <w:t>4</w:t>
            </w:r>
            <w:r w:rsidR="00A346E5" w:rsidRPr="00A146CF">
              <w:rPr>
                <w:b/>
                <w:sz w:val="20"/>
                <w:szCs w:val="20"/>
              </w:rPr>
              <w:t xml:space="preserve"> si renouvellement d’un contrat d’AUMG.</w:t>
            </w:r>
          </w:p>
        </w:tc>
      </w:tr>
    </w:tbl>
    <w:p w14:paraId="33AC0462" w14:textId="67BCE5F5" w:rsidR="00B573D2" w:rsidRDefault="00B573D2" w:rsidP="00B77AB4">
      <w:pPr>
        <w:jc w:val="both"/>
        <w:rPr>
          <w:b/>
          <w:u w:val="single"/>
        </w:rPr>
      </w:pPr>
    </w:p>
    <w:p w14:paraId="00E9886E" w14:textId="77777777" w:rsidR="00673C00" w:rsidRPr="00B835B0" w:rsidRDefault="00673C00" w:rsidP="00B77AB4">
      <w:pPr>
        <w:pStyle w:val="Paragraphedeliste"/>
        <w:jc w:val="both"/>
      </w:pPr>
    </w:p>
    <w:p w14:paraId="215A4C7E" w14:textId="77777777" w:rsidR="00E42AB9" w:rsidRPr="00F72321" w:rsidRDefault="00A019CE" w:rsidP="00B77AB4">
      <w:pPr>
        <w:jc w:val="both"/>
        <w:rPr>
          <w:b/>
          <w:color w:val="0070C0"/>
          <w:u w:val="single"/>
        </w:rPr>
      </w:pPr>
      <w:r w:rsidRPr="00F72321">
        <w:rPr>
          <w:b/>
          <w:color w:val="0070C0"/>
          <w:u w:val="single"/>
        </w:rPr>
        <w:t xml:space="preserve">7-Particularités </w:t>
      </w:r>
    </w:p>
    <w:p w14:paraId="203541A9" w14:textId="77777777" w:rsidR="00D33677" w:rsidRPr="002C7633" w:rsidRDefault="00D33677" w:rsidP="00B77AB4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D33677">
        <w:rPr>
          <w:u w:val="single"/>
        </w:rPr>
        <w:t>Remplacement d’un candidat suite à un désistement</w:t>
      </w:r>
    </w:p>
    <w:p w14:paraId="3624B99A" w14:textId="364E6A65" w:rsidR="00B835B0" w:rsidRDefault="00D33677" w:rsidP="00B77AB4">
      <w:pPr>
        <w:jc w:val="both"/>
      </w:pPr>
      <w:r w:rsidRPr="00D33677">
        <w:t xml:space="preserve">Si un candidat se </w:t>
      </w:r>
      <w:r w:rsidR="0010124F">
        <w:t>désiste avant le 01/11/20</w:t>
      </w:r>
      <w:r w:rsidR="00537AC2">
        <w:t>23</w:t>
      </w:r>
      <w:r>
        <w:t>, l’Université doit :</w:t>
      </w:r>
    </w:p>
    <w:p w14:paraId="39F10E2E" w14:textId="77777777" w:rsidR="00D33677" w:rsidRDefault="00110E7D" w:rsidP="00B77AB4">
      <w:pPr>
        <w:jc w:val="both"/>
      </w:pPr>
      <w:r>
        <w:lastRenderedPageBreak/>
        <w:t>-E</w:t>
      </w:r>
      <w:r w:rsidR="00D33677">
        <w:t xml:space="preserve">n informer </w:t>
      </w:r>
      <w:r w:rsidR="00D33677" w:rsidRPr="00527855">
        <w:rPr>
          <w:b/>
          <w:u w:val="single"/>
        </w:rPr>
        <w:t>immédiatement</w:t>
      </w:r>
      <w:r w:rsidR="00D33677">
        <w:t xml:space="preserve"> l’ARS</w:t>
      </w:r>
      <w:r>
        <w:t>,</w:t>
      </w:r>
      <w:r w:rsidR="00B55ABD">
        <w:t xml:space="preserve"> à défaut le financement sera refusé.</w:t>
      </w:r>
    </w:p>
    <w:p w14:paraId="51D4085C" w14:textId="77777777" w:rsidR="0014372B" w:rsidRDefault="00110E7D" w:rsidP="00EE23A6">
      <w:pPr>
        <w:jc w:val="both"/>
      </w:pPr>
      <w:r>
        <w:t>-P</w:t>
      </w:r>
      <w:r w:rsidR="00B77AB4" w:rsidRPr="00B77AB4">
        <w:t>roposer un nouveau candidat dans les meilleurs délais en renvoyant son CV et la lettre de motivation et en expliquant si ce changement de candidat a des répercussion</w:t>
      </w:r>
      <w:r w:rsidR="00B77AB4">
        <w:t xml:space="preserve">s ou non sur le projet médical, les </w:t>
      </w:r>
      <w:r w:rsidR="00B77AB4" w:rsidRPr="00B77AB4">
        <w:t>quotités de travail ….</w:t>
      </w:r>
      <w:r w:rsidR="0005682D">
        <w:t xml:space="preserve">     </w:t>
      </w:r>
    </w:p>
    <w:p w14:paraId="3C024441" w14:textId="2D55DB8A" w:rsidR="005977F4" w:rsidRDefault="0005682D" w:rsidP="00EE23A6">
      <w:pPr>
        <w:jc w:val="both"/>
      </w:pPr>
      <w:r>
        <w:t xml:space="preserve">   </w:t>
      </w:r>
    </w:p>
    <w:p w14:paraId="6FB9CE41" w14:textId="1D14A4C8" w:rsidR="006311E3" w:rsidRDefault="0005682D" w:rsidP="00B77AB4">
      <w:r>
        <w:t xml:space="preserve">                                                                                                                                                                        </w:t>
      </w:r>
      <w:r w:rsidR="00B77AB4">
        <w:t xml:space="preserve">            </w:t>
      </w:r>
      <w:r w:rsidR="006311E3">
        <w:rPr>
          <w:rFonts w:ascii="Helvetica" w:hAnsi="Helvetica" w:cs="Helvetica"/>
          <w:noProof/>
          <w:color w:val="666666"/>
          <w:sz w:val="20"/>
          <w:szCs w:val="20"/>
          <w:lang w:eastAsia="fr-FR"/>
        </w:rPr>
        <w:drawing>
          <wp:inline distT="0" distB="0" distL="0" distR="0" wp14:anchorId="6CF38264" wp14:editId="54DE176F">
            <wp:extent cx="534838" cy="543752"/>
            <wp:effectExtent l="0" t="0" r="0" b="8890"/>
            <wp:docPr id="4" name="Image 4" descr="Attention, focus, adhd, add, adhd app, adhd treatment, ad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, focus, adhd, add, adhd app, adhd treatment, add treat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5" cy="54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1E3">
        <w:t xml:space="preserve"> Le nouveau candidat doit être impérativemen</w:t>
      </w:r>
      <w:r w:rsidR="0010124F">
        <w:t xml:space="preserve">t inscrit à l’Ordre </w:t>
      </w:r>
      <w:r w:rsidR="00B573D2">
        <w:t xml:space="preserve">avant le </w:t>
      </w:r>
      <w:r w:rsidR="001E69B5">
        <w:t>0</w:t>
      </w:r>
      <w:r w:rsidR="00B573D2">
        <w:t>1/11/20</w:t>
      </w:r>
      <w:r w:rsidR="001E69B5">
        <w:t>23</w:t>
      </w:r>
      <w:r w:rsidR="003D485C">
        <w:t>.</w:t>
      </w:r>
    </w:p>
    <w:p w14:paraId="67C0C9EA" w14:textId="1187D4B9" w:rsidR="00E42AB9" w:rsidRDefault="0017489B" w:rsidP="00B77AB4">
      <w:pPr>
        <w:pStyle w:val="Paragraphedeliste"/>
        <w:numPr>
          <w:ilvl w:val="0"/>
          <w:numId w:val="4"/>
        </w:numPr>
        <w:jc w:val="both"/>
      </w:pPr>
      <w:r>
        <w:t>L’ARS</w:t>
      </w:r>
      <w:r w:rsidR="00E42AB9">
        <w:t xml:space="preserve"> donne alors son accord ou non sur ce remplacement</w:t>
      </w:r>
    </w:p>
    <w:p w14:paraId="6A0EF910" w14:textId="77777777" w:rsidR="00E42AB9" w:rsidRPr="002C7633" w:rsidRDefault="002C7633" w:rsidP="00B77AB4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2C7633">
        <w:rPr>
          <w:u w:val="single"/>
        </w:rPr>
        <w:t xml:space="preserve">Report de prise de fonction </w:t>
      </w:r>
    </w:p>
    <w:p w14:paraId="5B75B998" w14:textId="77777777" w:rsidR="00E42AB9" w:rsidRDefault="002C7633" w:rsidP="00B77AB4">
      <w:pPr>
        <w:jc w:val="both"/>
      </w:pPr>
      <w:r>
        <w:rPr>
          <w:rFonts w:ascii="Helvetica" w:hAnsi="Helvetica" w:cs="Helvetica"/>
          <w:noProof/>
          <w:color w:val="666666"/>
          <w:sz w:val="20"/>
          <w:szCs w:val="20"/>
          <w:lang w:eastAsia="fr-FR"/>
        </w:rPr>
        <w:drawing>
          <wp:inline distT="0" distB="0" distL="0" distR="0" wp14:anchorId="6735E6BF" wp14:editId="19E21D08">
            <wp:extent cx="534838" cy="543752"/>
            <wp:effectExtent l="0" t="0" r="0" b="8890"/>
            <wp:docPr id="5" name="Image 5" descr="Attention, focus, adhd, add, adhd app, adhd treatment, ad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, focus, adhd, add, adhd app, adhd treatment, add treat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5" cy="54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Informer l’ARS dans les meilleurs délais, à défaut le financ</w:t>
      </w:r>
      <w:r w:rsidR="001753B5">
        <w:t>ement sera refusé.</w:t>
      </w:r>
    </w:p>
    <w:p w14:paraId="4E5DF3CE" w14:textId="1C9B11D9" w:rsidR="00EF0F65" w:rsidRDefault="001753B5" w:rsidP="00B9365C">
      <w:pPr>
        <w:jc w:val="both"/>
        <w:rPr>
          <w:i/>
        </w:rPr>
      </w:pPr>
      <w:r>
        <w:t>La prise de poste des AUMG doit se faire au 1</w:t>
      </w:r>
      <w:r w:rsidRPr="001753B5">
        <w:rPr>
          <w:vertAlign w:val="superscript"/>
        </w:rPr>
        <w:t>er</w:t>
      </w:r>
      <w:r>
        <w:t xml:space="preserve"> Novembre</w:t>
      </w:r>
      <w:r w:rsidR="00B573D2">
        <w:t xml:space="preserve"> 20</w:t>
      </w:r>
      <w:r w:rsidR="001E69B5">
        <w:t>23</w:t>
      </w:r>
      <w:r>
        <w:t>, et exceptionnellement courant Novembre. Toute prise de poste qui aura lieu après</w:t>
      </w:r>
      <w:r w:rsidR="00B573D2">
        <w:t xml:space="preserve"> le mois de Novembre 20</w:t>
      </w:r>
      <w:r w:rsidR="001E69B5">
        <w:t>23</w:t>
      </w:r>
      <w:r w:rsidR="00D63130">
        <w:t xml:space="preserve"> entraî</w:t>
      </w:r>
      <w:r>
        <w:t xml:space="preserve">nera </w:t>
      </w:r>
      <w:r w:rsidRPr="001753B5">
        <w:rPr>
          <w:b/>
        </w:rPr>
        <w:t>un financement de l’ARS au prorata de la prise de fonction.</w:t>
      </w:r>
      <w:r w:rsidRPr="0010124F">
        <w:t xml:space="preserve"> </w:t>
      </w:r>
      <w:r w:rsidR="0010124F" w:rsidRPr="0010124F">
        <w:t>(</w:t>
      </w:r>
      <w:r w:rsidR="0010124F" w:rsidRPr="0010124F">
        <w:rPr>
          <w:i/>
        </w:rPr>
        <w:t xml:space="preserve">Sauf si le report de prise de fonction a pour origine une cause médicale). </w:t>
      </w:r>
    </w:p>
    <w:p w14:paraId="040878B8" w14:textId="77777777" w:rsidR="0014372B" w:rsidRDefault="0014372B" w:rsidP="00B9365C">
      <w:pPr>
        <w:jc w:val="both"/>
        <w:rPr>
          <w:i/>
        </w:rPr>
      </w:pPr>
    </w:p>
    <w:p w14:paraId="44052A98" w14:textId="3316CAB5" w:rsidR="0014372B" w:rsidRDefault="0014372B" w:rsidP="0014372B"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8</w:t>
      </w:r>
      <w:r w:rsidRPr="00F72321">
        <w:rPr>
          <w:b/>
          <w:color w:val="0070C0"/>
          <w:u w:val="single"/>
        </w:rPr>
        <w:t>-</w:t>
      </w:r>
      <w:r>
        <w:rPr>
          <w:b/>
          <w:color w:val="0070C0"/>
          <w:u w:val="single"/>
        </w:rPr>
        <w:t xml:space="preserve">Candidatures </w:t>
      </w:r>
    </w:p>
    <w:p w14:paraId="02F6D9CE" w14:textId="77777777" w:rsidR="0014372B" w:rsidRPr="003C294A" w:rsidRDefault="0014372B" w:rsidP="0014372B">
      <w:pPr>
        <w:jc w:val="both"/>
        <w:rPr>
          <w:b/>
          <w:u w:val="single"/>
        </w:rPr>
      </w:pPr>
      <w:r w:rsidRPr="003C294A">
        <w:rPr>
          <w:b/>
          <w:u w:val="single"/>
        </w:rPr>
        <w:t xml:space="preserve">Pièces justificatives obligatoires à fournir au dossier de candidature </w:t>
      </w:r>
    </w:p>
    <w:p w14:paraId="530E618B" w14:textId="77777777" w:rsidR="0014372B" w:rsidRPr="00D902BF" w:rsidRDefault="0014372B" w:rsidP="0014372B">
      <w:pPr>
        <w:jc w:val="both"/>
        <w:rPr>
          <w:u w:val="single"/>
        </w:rPr>
      </w:pPr>
      <w:r w:rsidRPr="00D902BF">
        <w:rPr>
          <w:u w:val="single"/>
        </w:rPr>
        <w:t>Concernant le candidat pressenti :</w:t>
      </w:r>
    </w:p>
    <w:p w14:paraId="69C0E3B1" w14:textId="77777777" w:rsidR="0014372B" w:rsidRDefault="0014372B" w:rsidP="0014372B">
      <w:pPr>
        <w:pStyle w:val="Paragraphedeliste"/>
        <w:numPr>
          <w:ilvl w:val="0"/>
          <w:numId w:val="2"/>
        </w:numPr>
        <w:jc w:val="both"/>
      </w:pPr>
      <w:r>
        <w:t>CV</w:t>
      </w:r>
    </w:p>
    <w:p w14:paraId="27EBF81C" w14:textId="77777777" w:rsidR="0014372B" w:rsidRDefault="0014372B" w:rsidP="0014372B">
      <w:pPr>
        <w:pStyle w:val="Paragraphedeliste"/>
        <w:numPr>
          <w:ilvl w:val="0"/>
          <w:numId w:val="2"/>
        </w:numPr>
        <w:jc w:val="both"/>
      </w:pPr>
      <w:r>
        <w:t>Lettre de motivation</w:t>
      </w:r>
    </w:p>
    <w:p w14:paraId="229A18D9" w14:textId="77777777" w:rsidR="0014372B" w:rsidRDefault="0014372B" w:rsidP="0014372B">
      <w:pPr>
        <w:pStyle w:val="Paragraphedeliste"/>
        <w:numPr>
          <w:ilvl w:val="0"/>
          <w:numId w:val="2"/>
        </w:numPr>
        <w:jc w:val="both"/>
      </w:pPr>
      <w:r>
        <w:t xml:space="preserve">Inscription ordinale du candidat </w:t>
      </w:r>
    </w:p>
    <w:p w14:paraId="0CB80C09" w14:textId="77777777" w:rsidR="0014372B" w:rsidRPr="000C6451" w:rsidRDefault="0014372B" w:rsidP="0014372B">
      <w:pPr>
        <w:jc w:val="both"/>
        <w:rPr>
          <w:u w:val="single"/>
        </w:rPr>
      </w:pPr>
      <w:r w:rsidRPr="000C6451">
        <w:rPr>
          <w:u w:val="single"/>
        </w:rPr>
        <w:t xml:space="preserve">Concernant les Universités et les structures de soins : </w:t>
      </w:r>
    </w:p>
    <w:p w14:paraId="0BB26886" w14:textId="77777777" w:rsidR="0014372B" w:rsidRDefault="0014372B" w:rsidP="0014372B">
      <w:pPr>
        <w:pStyle w:val="Paragraphedeliste"/>
        <w:numPr>
          <w:ilvl w:val="0"/>
          <w:numId w:val="2"/>
        </w:numPr>
        <w:jc w:val="both"/>
      </w:pPr>
      <w:r w:rsidRPr="00E82A64">
        <w:t>Accord sur le projet et sur le recrutement du candidat pressenti</w:t>
      </w:r>
    </w:p>
    <w:p w14:paraId="56609972" w14:textId="77777777" w:rsidR="0014372B" w:rsidRDefault="0014372B" w:rsidP="0014372B">
      <w:pPr>
        <w:pStyle w:val="Paragraphedeliste"/>
        <w:numPr>
          <w:ilvl w:val="0"/>
          <w:numId w:val="2"/>
        </w:numPr>
        <w:jc w:val="both"/>
      </w:pPr>
      <w:r>
        <w:t>Projet de coopération entre les partenaires</w:t>
      </w:r>
    </w:p>
    <w:p w14:paraId="52EB902A" w14:textId="77777777" w:rsidR="0014372B" w:rsidRDefault="0014372B" w:rsidP="0014372B">
      <w:pPr>
        <w:pStyle w:val="Paragraphedeliste"/>
        <w:jc w:val="both"/>
      </w:pPr>
    </w:p>
    <w:p w14:paraId="0C6B6111" w14:textId="5DD8C4E0" w:rsidR="0014372B" w:rsidRDefault="0014372B" w:rsidP="0014372B">
      <w:pPr>
        <w:jc w:val="both"/>
        <w:rPr>
          <w:b/>
          <w:color w:val="0070C0"/>
          <w:u w:val="single"/>
        </w:rPr>
      </w:pPr>
    </w:p>
    <w:p w14:paraId="6005B877" w14:textId="77777777" w:rsidR="0014372B" w:rsidRPr="00F72321" w:rsidRDefault="0014372B" w:rsidP="0014372B">
      <w:pPr>
        <w:jc w:val="both"/>
        <w:rPr>
          <w:b/>
          <w:color w:val="0070C0"/>
          <w:u w:val="single"/>
        </w:rPr>
      </w:pPr>
    </w:p>
    <w:p w14:paraId="3519DF56" w14:textId="77777777" w:rsidR="0014372B" w:rsidRDefault="0014372B" w:rsidP="0014372B">
      <w:pPr>
        <w:tabs>
          <w:tab w:val="left" w:pos="724"/>
        </w:tabs>
        <w:spacing w:after="0" w:line="277" w:lineRule="auto"/>
        <w:ind w:right="60"/>
        <w:rPr>
          <w:b/>
          <w:sz w:val="21"/>
        </w:rPr>
      </w:pPr>
      <w:r w:rsidRPr="005A11F0">
        <w:rPr>
          <w:b/>
          <w:sz w:val="21"/>
        </w:rPr>
        <w:lastRenderedPageBreak/>
        <w:t xml:space="preserve">Le dépôt des candidatures se fait en ligne </w:t>
      </w:r>
      <w:r>
        <w:rPr>
          <w:b/>
          <w:sz w:val="21"/>
        </w:rPr>
        <w:t>via le lien de connexion ci-dessous</w:t>
      </w:r>
      <w:r w:rsidRPr="005A11F0">
        <w:rPr>
          <w:b/>
          <w:sz w:val="21"/>
        </w:rPr>
        <w:t xml:space="preserve">.  </w:t>
      </w:r>
    </w:p>
    <w:p w14:paraId="3C99AA47" w14:textId="77777777" w:rsidR="0014372B" w:rsidRDefault="0014372B" w:rsidP="0014372B">
      <w:pPr>
        <w:tabs>
          <w:tab w:val="left" w:pos="724"/>
        </w:tabs>
        <w:spacing w:after="0" w:line="277" w:lineRule="auto"/>
        <w:ind w:right="60"/>
        <w:rPr>
          <w:b/>
          <w:sz w:val="21"/>
        </w:rPr>
      </w:pPr>
    </w:p>
    <w:p w14:paraId="4BFC802E" w14:textId="77777777" w:rsidR="0014372B" w:rsidRPr="00F578E5" w:rsidRDefault="0014372B" w:rsidP="0014372B">
      <w:pPr>
        <w:spacing w:after="0" w:line="240" w:lineRule="auto"/>
        <w:jc w:val="both"/>
        <w:rPr>
          <w:sz w:val="12"/>
          <w:szCs w:val="20"/>
        </w:rPr>
      </w:pPr>
    </w:p>
    <w:p w14:paraId="30CE3928" w14:textId="77777777" w:rsidR="0014372B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 w:val="20"/>
          <w:szCs w:val="20"/>
        </w:rPr>
      </w:pPr>
    </w:p>
    <w:p w14:paraId="72738234" w14:textId="77777777" w:rsidR="0014372B" w:rsidRPr="00700E74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 w:rsidRPr="00784737">
        <w:rPr>
          <w:b/>
          <w:szCs w:val="20"/>
        </w:rPr>
        <w:t xml:space="preserve">Date limite dépôt dossiers : </w:t>
      </w:r>
      <w:r w:rsidRPr="00700E74">
        <w:rPr>
          <w:b/>
          <w:color w:val="FF0000"/>
          <w:szCs w:val="20"/>
        </w:rPr>
        <w:t>22 mai 2023</w:t>
      </w:r>
      <w:r>
        <w:rPr>
          <w:b/>
          <w:color w:val="FF0000"/>
          <w:szCs w:val="20"/>
        </w:rPr>
        <w:t xml:space="preserve"> délai de rigueur.</w:t>
      </w:r>
    </w:p>
    <w:p w14:paraId="5456FA74" w14:textId="77777777" w:rsidR="0014372B" w:rsidRPr="00D94C08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 w:val="16"/>
          <w:szCs w:val="20"/>
        </w:rPr>
      </w:pPr>
    </w:p>
    <w:p w14:paraId="27D30DD5" w14:textId="2A653CEC" w:rsidR="0014372B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Cs w:val="20"/>
        </w:rPr>
      </w:pPr>
      <w:r w:rsidRPr="00F578E5">
        <w:rPr>
          <w:b/>
          <w:szCs w:val="20"/>
          <w:u w:val="single"/>
        </w:rPr>
        <w:t>Uniquement</w:t>
      </w:r>
      <w:r w:rsidRPr="00784737">
        <w:rPr>
          <w:szCs w:val="20"/>
        </w:rPr>
        <w:t xml:space="preserve"> </w:t>
      </w:r>
      <w:r>
        <w:rPr>
          <w:szCs w:val="20"/>
        </w:rPr>
        <w:t xml:space="preserve">en ligne </w:t>
      </w:r>
      <w:r w:rsidRPr="00784737">
        <w:rPr>
          <w:szCs w:val="20"/>
        </w:rPr>
        <w:t>par l</w:t>
      </w:r>
      <w:r>
        <w:rPr>
          <w:szCs w:val="20"/>
        </w:rPr>
        <w:t>’université</w:t>
      </w:r>
      <w:r>
        <w:rPr>
          <w:szCs w:val="20"/>
        </w:rPr>
        <w:t> :</w:t>
      </w:r>
    </w:p>
    <w:p w14:paraId="66C6681D" w14:textId="77777777" w:rsidR="0014372B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Cs w:val="20"/>
        </w:rPr>
      </w:pPr>
    </w:p>
    <w:p w14:paraId="6496E472" w14:textId="77777777" w:rsidR="0014372B" w:rsidRPr="0014372B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</w:pPr>
      <w:hyperlink r:id="rId9" w:history="1">
        <w:r w:rsidRPr="0014372B">
          <w:rPr>
            <w:rStyle w:val="Lienhypertexte"/>
            <w:rFonts w:asciiTheme="minorHAnsi" w:hAnsiTheme="minorHAnsi" w:cstheme="minorBidi"/>
            <w:sz w:val="22"/>
            <w:szCs w:val="22"/>
          </w:rPr>
          <w:t>https://demat.social.gouv.fr/commencer/arsif-appel-a-candidatures-pour-les-postes-partages-aumg</w:t>
        </w:r>
      </w:hyperlink>
    </w:p>
    <w:p w14:paraId="4380F919" w14:textId="77777777" w:rsidR="0014372B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Cs w:val="20"/>
        </w:rPr>
      </w:pPr>
    </w:p>
    <w:p w14:paraId="64D1B490" w14:textId="77777777" w:rsidR="0014372B" w:rsidRPr="00E42451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Cs w:val="20"/>
        </w:rPr>
      </w:pPr>
      <w:r w:rsidRPr="00E42451">
        <w:rPr>
          <w:b/>
          <w:szCs w:val="20"/>
        </w:rPr>
        <w:t>Jury de sélection</w:t>
      </w:r>
      <w:r w:rsidRPr="00784737">
        <w:rPr>
          <w:b/>
          <w:szCs w:val="20"/>
        </w:rPr>
        <w:t xml:space="preserve"> : </w:t>
      </w:r>
      <w:r w:rsidRPr="00E42451">
        <w:rPr>
          <w:b/>
          <w:szCs w:val="20"/>
        </w:rPr>
        <w:t>Semaine du 19 juin 2023</w:t>
      </w:r>
    </w:p>
    <w:p w14:paraId="5C08D572" w14:textId="77777777" w:rsidR="0014372B" w:rsidRPr="00D94C08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 w:val="14"/>
          <w:szCs w:val="20"/>
        </w:rPr>
      </w:pPr>
    </w:p>
    <w:p w14:paraId="59F16E26" w14:textId="77777777" w:rsidR="0014372B" w:rsidRPr="00E42451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Cs w:val="20"/>
        </w:rPr>
      </w:pPr>
      <w:r w:rsidRPr="00784737">
        <w:rPr>
          <w:b/>
          <w:szCs w:val="20"/>
        </w:rPr>
        <w:t xml:space="preserve">Prise de poste : </w:t>
      </w:r>
      <w:r w:rsidRPr="00E42451">
        <w:rPr>
          <w:b/>
          <w:szCs w:val="20"/>
        </w:rPr>
        <w:t>1</w:t>
      </w:r>
      <w:r w:rsidRPr="00E42451">
        <w:rPr>
          <w:b/>
          <w:szCs w:val="20"/>
          <w:vertAlign w:val="superscript"/>
        </w:rPr>
        <w:t>er</w:t>
      </w:r>
      <w:r w:rsidRPr="00E42451">
        <w:rPr>
          <w:b/>
          <w:szCs w:val="20"/>
        </w:rPr>
        <w:t xml:space="preserve"> novembre 2023</w:t>
      </w:r>
    </w:p>
    <w:p w14:paraId="1E1B8BB0" w14:textId="77777777" w:rsidR="0014372B" w:rsidRPr="00E42451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Cs w:val="20"/>
        </w:rPr>
      </w:pPr>
      <w:r w:rsidRPr="00E42451">
        <w:rPr>
          <w:b/>
          <w:szCs w:val="20"/>
        </w:rPr>
        <w:t>Fonctions : du 1</w:t>
      </w:r>
      <w:r w:rsidRPr="00E42451">
        <w:rPr>
          <w:b/>
          <w:szCs w:val="20"/>
          <w:vertAlign w:val="superscript"/>
        </w:rPr>
        <w:t>er</w:t>
      </w:r>
      <w:r w:rsidRPr="00E42451">
        <w:rPr>
          <w:b/>
          <w:szCs w:val="20"/>
        </w:rPr>
        <w:t xml:space="preserve"> novembre 2023 au 31 octobre 2025</w:t>
      </w:r>
    </w:p>
    <w:p w14:paraId="21CA9749" w14:textId="77777777" w:rsidR="0014372B" w:rsidRPr="00010F1C" w:rsidRDefault="0014372B" w:rsidP="0014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 w:val="16"/>
          <w:szCs w:val="16"/>
          <w:u w:val="single"/>
        </w:rPr>
      </w:pPr>
    </w:p>
    <w:p w14:paraId="741A95C5" w14:textId="77777777" w:rsidR="0014372B" w:rsidRPr="00F578E5" w:rsidRDefault="0014372B" w:rsidP="0014372B">
      <w:pPr>
        <w:spacing w:after="0" w:line="240" w:lineRule="auto"/>
        <w:jc w:val="center"/>
        <w:rPr>
          <w:b/>
          <w:color w:val="FF0000"/>
          <w:sz w:val="18"/>
          <w:szCs w:val="20"/>
        </w:rPr>
      </w:pPr>
    </w:p>
    <w:p w14:paraId="3AF0A6FF" w14:textId="77777777" w:rsidR="0014372B" w:rsidRPr="003D730F" w:rsidRDefault="0014372B" w:rsidP="0014372B">
      <w:pPr>
        <w:spacing w:after="0" w:line="240" w:lineRule="auto"/>
        <w:jc w:val="both"/>
        <w:rPr>
          <w:b/>
          <w:u w:val="single"/>
        </w:rPr>
      </w:pPr>
      <w:r w:rsidRPr="003D730F">
        <w:rPr>
          <w:b/>
          <w:u w:val="single"/>
        </w:rPr>
        <w:t xml:space="preserve">PIECES A TELECHARGER  </w:t>
      </w:r>
    </w:p>
    <w:p w14:paraId="3D434500" w14:textId="77777777" w:rsidR="0014372B" w:rsidRPr="003D730F" w:rsidRDefault="0014372B" w:rsidP="0014372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</w:rPr>
      </w:pPr>
      <w:r w:rsidRPr="003D730F">
        <w:rPr>
          <w:b/>
        </w:rPr>
        <w:t>Cahier des charges</w:t>
      </w:r>
    </w:p>
    <w:p w14:paraId="58BAEBF6" w14:textId="77777777" w:rsidR="0014372B" w:rsidRPr="003D730F" w:rsidRDefault="0014372B" w:rsidP="0014372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</w:rPr>
      </w:pPr>
      <w:r w:rsidRPr="003D730F">
        <w:rPr>
          <w:b/>
        </w:rPr>
        <w:t>Mode opératoire pour déposer en ligne une candidature</w:t>
      </w:r>
    </w:p>
    <w:p w14:paraId="15FB29D7" w14:textId="77777777" w:rsidR="0014372B" w:rsidRPr="003D730F" w:rsidRDefault="0014372B" w:rsidP="0014372B">
      <w:pPr>
        <w:spacing w:after="0" w:line="240" w:lineRule="auto"/>
        <w:jc w:val="both"/>
        <w:rPr>
          <w:b/>
        </w:rPr>
      </w:pPr>
    </w:p>
    <w:p w14:paraId="5F80DF0A" w14:textId="77777777" w:rsidR="0014372B" w:rsidRDefault="0014372B" w:rsidP="0014372B">
      <w:pPr>
        <w:spacing w:after="0" w:line="240" w:lineRule="auto"/>
        <w:jc w:val="both"/>
        <w:rPr>
          <w:b/>
          <w:sz w:val="18"/>
          <w:szCs w:val="20"/>
        </w:rPr>
      </w:pPr>
    </w:p>
    <w:p w14:paraId="173727C3" w14:textId="06C92529" w:rsidR="0014372B" w:rsidRPr="003D730F" w:rsidRDefault="0014372B" w:rsidP="0014372B">
      <w:pPr>
        <w:spacing w:after="0" w:line="240" w:lineRule="auto"/>
        <w:jc w:val="both"/>
        <w:rPr>
          <w:b/>
          <w:sz w:val="18"/>
          <w:szCs w:val="20"/>
        </w:rPr>
      </w:pPr>
      <w:r w:rsidRPr="003D730F">
        <w:rPr>
          <w:b/>
          <w:u w:val="single"/>
        </w:rPr>
        <w:t>CONTACT ARS</w:t>
      </w:r>
      <w:r w:rsidRPr="003D730F">
        <w:rPr>
          <w:b/>
        </w:rPr>
        <w:t xml:space="preserve"> : </w:t>
      </w:r>
      <w:hyperlink r:id="rId10" w:history="1">
        <w:r w:rsidRPr="005915B5">
          <w:rPr>
            <w:rStyle w:val="Lienhypertexte"/>
            <w:b/>
            <w:sz w:val="22"/>
            <w:szCs w:val="22"/>
          </w:rPr>
          <w:t>ars-idf-dos-mgs@ars.sante.fr</w:t>
        </w:r>
      </w:hyperlink>
      <w:r w:rsidRPr="003D730F">
        <w:rPr>
          <w:b/>
        </w:rPr>
        <w:t xml:space="preserve"> </w:t>
      </w:r>
    </w:p>
    <w:p w14:paraId="39FD2DCB" w14:textId="77777777" w:rsidR="0014372B" w:rsidRPr="003D730F" w:rsidRDefault="0014372B" w:rsidP="0014372B">
      <w:pPr>
        <w:spacing w:after="0" w:line="240" w:lineRule="auto"/>
        <w:jc w:val="both"/>
        <w:rPr>
          <w:b/>
          <w:sz w:val="18"/>
          <w:szCs w:val="20"/>
        </w:rPr>
      </w:pPr>
    </w:p>
    <w:p w14:paraId="40D2A94D" w14:textId="77777777" w:rsidR="0014372B" w:rsidRPr="003D730F" w:rsidRDefault="0014372B" w:rsidP="0014372B">
      <w:pPr>
        <w:spacing w:after="0" w:line="240" w:lineRule="auto"/>
        <w:jc w:val="both"/>
        <w:rPr>
          <w:b/>
          <w:sz w:val="18"/>
          <w:szCs w:val="20"/>
        </w:rPr>
      </w:pPr>
    </w:p>
    <w:p w14:paraId="6CB5BFAB" w14:textId="77777777" w:rsidR="0014372B" w:rsidRDefault="0014372B" w:rsidP="0014372B">
      <w:pPr>
        <w:tabs>
          <w:tab w:val="left" w:pos="724"/>
        </w:tabs>
        <w:spacing w:after="0" w:line="277" w:lineRule="auto"/>
        <w:ind w:right="60"/>
      </w:pPr>
    </w:p>
    <w:p w14:paraId="3EDB4662" w14:textId="77777777" w:rsidR="0014372B" w:rsidRDefault="0014372B" w:rsidP="0014372B">
      <w:pPr>
        <w:jc w:val="both"/>
        <w:rPr>
          <w:b/>
          <w:u w:val="single"/>
        </w:rPr>
      </w:pPr>
      <w:bookmarkStart w:id="1" w:name="_GoBack"/>
      <w:bookmarkEnd w:id="1"/>
    </w:p>
    <w:p w14:paraId="57CB7768" w14:textId="77777777" w:rsidR="0014372B" w:rsidRDefault="0014372B" w:rsidP="0014372B">
      <w:pPr>
        <w:pStyle w:val="Paragraphedeliste"/>
        <w:jc w:val="both"/>
      </w:pPr>
    </w:p>
    <w:p w14:paraId="33B0B317" w14:textId="77777777" w:rsidR="0014372B" w:rsidRDefault="0014372B" w:rsidP="0014372B">
      <w:pPr>
        <w:pStyle w:val="Paragraphedeliste"/>
        <w:jc w:val="both"/>
      </w:pPr>
    </w:p>
    <w:p w14:paraId="22BD992B" w14:textId="6F1FB0FB" w:rsidR="002333AF" w:rsidRPr="00EF0F65" w:rsidRDefault="002333AF" w:rsidP="002333AF">
      <w:pPr>
        <w:spacing w:after="0" w:line="240" w:lineRule="auto"/>
        <w:jc w:val="both"/>
      </w:pPr>
    </w:p>
    <w:sectPr w:rsidR="002333AF" w:rsidRPr="00EF0F6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5CC5F2" w16cid:durableId="21A0B4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B1387" w14:textId="77777777" w:rsidR="00A71010" w:rsidRDefault="00A71010" w:rsidP="00457957">
      <w:pPr>
        <w:spacing w:after="0" w:line="240" w:lineRule="auto"/>
      </w:pPr>
      <w:r>
        <w:separator/>
      </w:r>
    </w:p>
  </w:endnote>
  <w:endnote w:type="continuationSeparator" w:id="0">
    <w:p w14:paraId="20C8F6A1" w14:textId="77777777" w:rsidR="00A71010" w:rsidRDefault="00A71010" w:rsidP="004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2558"/>
      <w:docPartObj>
        <w:docPartGallery w:val="Page Numbers (Bottom of Page)"/>
        <w:docPartUnique/>
      </w:docPartObj>
    </w:sdtPr>
    <w:sdtEndPr/>
    <w:sdtContent>
      <w:p w14:paraId="2B7CB8AC" w14:textId="0F8CA7D2" w:rsidR="00457957" w:rsidRDefault="004579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72B">
          <w:rPr>
            <w:noProof/>
          </w:rPr>
          <w:t>5</w:t>
        </w:r>
        <w:r>
          <w:fldChar w:fldCharType="end"/>
        </w:r>
      </w:p>
    </w:sdtContent>
  </w:sdt>
  <w:p w14:paraId="6AC56ECE" w14:textId="77777777" w:rsidR="00457957" w:rsidRDefault="004579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3844" w14:textId="77777777" w:rsidR="00A71010" w:rsidRDefault="00A71010" w:rsidP="00457957">
      <w:pPr>
        <w:spacing w:after="0" w:line="240" w:lineRule="auto"/>
      </w:pPr>
      <w:r>
        <w:separator/>
      </w:r>
    </w:p>
  </w:footnote>
  <w:footnote w:type="continuationSeparator" w:id="0">
    <w:p w14:paraId="6B802DC0" w14:textId="77777777" w:rsidR="00A71010" w:rsidRDefault="00A71010" w:rsidP="00457957">
      <w:pPr>
        <w:spacing w:after="0" w:line="240" w:lineRule="auto"/>
      </w:pPr>
      <w:r>
        <w:continuationSeparator/>
      </w:r>
    </w:p>
  </w:footnote>
  <w:footnote w:id="1">
    <w:p w14:paraId="75D199BF" w14:textId="7153295A" w:rsidR="00CE5648" w:rsidRDefault="00CE5648">
      <w:pPr>
        <w:pStyle w:val="Notedebasdepage"/>
      </w:pPr>
      <w:r>
        <w:rPr>
          <w:rStyle w:val="Appelnotedebasdep"/>
        </w:rPr>
        <w:footnoteRef/>
      </w:r>
      <w:r w:rsidR="00537AC2">
        <w:t xml:space="preserve"> Cf. arrêté du 21</w:t>
      </w:r>
      <w:r>
        <w:t xml:space="preserve"> Octobre 2010</w:t>
      </w:r>
      <w:r w:rsidR="00537AC2">
        <w:t xml:space="preserve"> modifié</w:t>
      </w:r>
      <w:r>
        <w:t xml:space="preserve"> relatif à la rému</w:t>
      </w:r>
      <w:r w:rsidR="00060658">
        <w:t xml:space="preserve">nération des chefs de clinique </w:t>
      </w:r>
      <w:r>
        <w:t>des universités de médecine générale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88FFD" w14:textId="06B17DFD" w:rsidR="00DC750D" w:rsidRDefault="00A5148D">
    <w:pPr>
      <w:pStyle w:val="En-tte"/>
    </w:pPr>
    <w:r>
      <w:rPr>
        <w:noProof/>
        <w:lang w:eastAsia="fr-FR"/>
      </w:rPr>
      <w:drawing>
        <wp:inline distT="0" distB="0" distL="0" distR="0" wp14:anchorId="682FBDD6" wp14:editId="7C83A600">
          <wp:extent cx="1310640" cy="1188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3B42B6">
      <w:rPr>
        <w:noProof/>
        <w:lang w:eastAsia="fr-FR"/>
      </w:rPr>
      <w:drawing>
        <wp:inline distT="0" distB="0" distL="0" distR="0" wp14:anchorId="623B18BE" wp14:editId="103115F5">
          <wp:extent cx="1362710" cy="784860"/>
          <wp:effectExtent l="0" t="0" r="8890" b="0"/>
          <wp:docPr id="6" name="Image 6" descr="I:\MA_DIRECTION\DOSMS\RH_EN_SANTÉ\PARCOURS_PROFESSIONNELS\Documents partagés\Modèles type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_DIRECTION\DOSMS\RH_EN_SANTÉ\PARCOURS_PROFESSIONNELS\Documents partagés\Modèles type\ARS_LOGOS_id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94587A2E"/>
    <w:lvl w:ilvl="0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63C5B8A"/>
    <w:lvl w:ilvl="0" w:tplc="FFFFFFFF">
      <w:start w:val="1"/>
      <w:numFmt w:val="bullet"/>
      <w:lvlText w:val=""/>
      <w:lvlJc w:val="left"/>
    </w:lvl>
    <w:lvl w:ilvl="1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7142D3"/>
    <w:multiLevelType w:val="hybridMultilevel"/>
    <w:tmpl w:val="364A35F0"/>
    <w:lvl w:ilvl="0" w:tplc="A1E08050">
      <w:start w:val="1"/>
      <w:numFmt w:val="bullet"/>
      <w:lvlText w:val="-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ADC010A6">
      <w:start w:val="1"/>
      <w:numFmt w:val="bullet"/>
      <w:lvlText w:val=""/>
      <w:lvlJc w:val="left"/>
    </w:lvl>
    <w:lvl w:ilvl="3" w:tplc="24149C64">
      <w:start w:val="1"/>
      <w:numFmt w:val="bullet"/>
      <w:lvlText w:val=""/>
      <w:lvlJc w:val="left"/>
    </w:lvl>
    <w:lvl w:ilvl="4" w:tplc="509621D6">
      <w:start w:val="1"/>
      <w:numFmt w:val="bullet"/>
      <w:lvlText w:val=""/>
      <w:lvlJc w:val="left"/>
    </w:lvl>
    <w:lvl w:ilvl="5" w:tplc="7924E462">
      <w:start w:val="1"/>
      <w:numFmt w:val="bullet"/>
      <w:lvlText w:val=""/>
      <w:lvlJc w:val="left"/>
    </w:lvl>
    <w:lvl w:ilvl="6" w:tplc="1262A694">
      <w:start w:val="1"/>
      <w:numFmt w:val="bullet"/>
      <w:lvlText w:val=""/>
      <w:lvlJc w:val="left"/>
    </w:lvl>
    <w:lvl w:ilvl="7" w:tplc="2D0EF11A">
      <w:start w:val="1"/>
      <w:numFmt w:val="bullet"/>
      <w:lvlText w:val=""/>
      <w:lvlJc w:val="left"/>
    </w:lvl>
    <w:lvl w:ilvl="8" w:tplc="238E51F2">
      <w:start w:val="1"/>
      <w:numFmt w:val="bullet"/>
      <w:lvlText w:val=""/>
      <w:lvlJc w:val="left"/>
    </w:lvl>
  </w:abstractNum>
  <w:abstractNum w:abstractNumId="3" w15:restartNumberingAfterBreak="0">
    <w:nsid w:val="04DD2FBA"/>
    <w:multiLevelType w:val="hybridMultilevel"/>
    <w:tmpl w:val="B10CB846"/>
    <w:lvl w:ilvl="0" w:tplc="6D221172">
      <w:start w:val="20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984"/>
    <w:multiLevelType w:val="hybridMultilevel"/>
    <w:tmpl w:val="EB64EE8E"/>
    <w:lvl w:ilvl="0" w:tplc="FFFFFFFF">
      <w:start w:val="1"/>
      <w:numFmt w:val="bullet"/>
      <w:lvlText w:val="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CA12692"/>
    <w:multiLevelType w:val="hybridMultilevel"/>
    <w:tmpl w:val="B9F0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39A0"/>
    <w:multiLevelType w:val="hybridMultilevel"/>
    <w:tmpl w:val="01683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C43FF"/>
    <w:multiLevelType w:val="hybridMultilevel"/>
    <w:tmpl w:val="8AA67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4315F"/>
    <w:multiLevelType w:val="hybridMultilevel"/>
    <w:tmpl w:val="8FD42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87231"/>
    <w:multiLevelType w:val="hybridMultilevel"/>
    <w:tmpl w:val="33883070"/>
    <w:lvl w:ilvl="0" w:tplc="8458886C">
      <w:start w:val="20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F0148"/>
    <w:multiLevelType w:val="hybridMultilevel"/>
    <w:tmpl w:val="BCFCB1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E079CA"/>
    <w:multiLevelType w:val="hybridMultilevel"/>
    <w:tmpl w:val="06263696"/>
    <w:lvl w:ilvl="0" w:tplc="27BA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D51ED"/>
    <w:multiLevelType w:val="hybridMultilevel"/>
    <w:tmpl w:val="4CCED8FE"/>
    <w:lvl w:ilvl="0" w:tplc="906AAAAE">
      <w:start w:val="2023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138EC"/>
    <w:multiLevelType w:val="hybridMultilevel"/>
    <w:tmpl w:val="D6925E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B3775"/>
    <w:multiLevelType w:val="hybridMultilevel"/>
    <w:tmpl w:val="16C86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2404A"/>
    <w:multiLevelType w:val="hybridMultilevel"/>
    <w:tmpl w:val="7EB2F198"/>
    <w:lvl w:ilvl="0" w:tplc="E0D852C0">
      <w:numFmt w:val="bullet"/>
      <w:lvlText w:val="-"/>
      <w:lvlJc w:val="left"/>
      <w:pPr>
        <w:ind w:left="15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3"/>
  </w:num>
  <w:num w:numId="5">
    <w:abstractNumId w:val="15"/>
  </w:num>
  <w:num w:numId="6">
    <w:abstractNumId w:val="8"/>
  </w:num>
  <w:num w:numId="7">
    <w:abstractNumId w:val="10"/>
  </w:num>
  <w:num w:numId="8">
    <w:abstractNumId w:val="11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51"/>
    <w:rsid w:val="00003167"/>
    <w:rsid w:val="00011CF0"/>
    <w:rsid w:val="00021900"/>
    <w:rsid w:val="00034E20"/>
    <w:rsid w:val="0005682D"/>
    <w:rsid w:val="00060658"/>
    <w:rsid w:val="00087B2F"/>
    <w:rsid w:val="000B4934"/>
    <w:rsid w:val="000C26F2"/>
    <w:rsid w:val="000C568F"/>
    <w:rsid w:val="000C6451"/>
    <w:rsid w:val="000D07E8"/>
    <w:rsid w:val="000E437A"/>
    <w:rsid w:val="0010124F"/>
    <w:rsid w:val="00110E7D"/>
    <w:rsid w:val="0011228D"/>
    <w:rsid w:val="00126455"/>
    <w:rsid w:val="0014372B"/>
    <w:rsid w:val="001516FE"/>
    <w:rsid w:val="00157619"/>
    <w:rsid w:val="001576CB"/>
    <w:rsid w:val="00172A0A"/>
    <w:rsid w:val="0017489B"/>
    <w:rsid w:val="001753B5"/>
    <w:rsid w:val="00185870"/>
    <w:rsid w:val="00191899"/>
    <w:rsid w:val="00197635"/>
    <w:rsid w:val="001B1484"/>
    <w:rsid w:val="001C14E8"/>
    <w:rsid w:val="001E014E"/>
    <w:rsid w:val="001E69B5"/>
    <w:rsid w:val="001F0001"/>
    <w:rsid w:val="001F4C40"/>
    <w:rsid w:val="002033ED"/>
    <w:rsid w:val="002333AF"/>
    <w:rsid w:val="00237D72"/>
    <w:rsid w:val="00242E01"/>
    <w:rsid w:val="002449AB"/>
    <w:rsid w:val="002517C4"/>
    <w:rsid w:val="00266A39"/>
    <w:rsid w:val="002707D0"/>
    <w:rsid w:val="002B1372"/>
    <w:rsid w:val="002C1831"/>
    <w:rsid w:val="002C7633"/>
    <w:rsid w:val="002D7FF3"/>
    <w:rsid w:val="002F11B7"/>
    <w:rsid w:val="002F4866"/>
    <w:rsid w:val="002F6079"/>
    <w:rsid w:val="002F6477"/>
    <w:rsid w:val="003176EB"/>
    <w:rsid w:val="00321CA2"/>
    <w:rsid w:val="00325EC4"/>
    <w:rsid w:val="00355637"/>
    <w:rsid w:val="00357E9A"/>
    <w:rsid w:val="00373F6D"/>
    <w:rsid w:val="00380335"/>
    <w:rsid w:val="003A0104"/>
    <w:rsid w:val="003A3EB6"/>
    <w:rsid w:val="003B42B6"/>
    <w:rsid w:val="003C250F"/>
    <w:rsid w:val="003C294A"/>
    <w:rsid w:val="003D2E00"/>
    <w:rsid w:val="003D485C"/>
    <w:rsid w:val="003D6047"/>
    <w:rsid w:val="003E0BB9"/>
    <w:rsid w:val="003E4E8F"/>
    <w:rsid w:val="003E5F7F"/>
    <w:rsid w:val="003F38DF"/>
    <w:rsid w:val="00401C21"/>
    <w:rsid w:val="00422F45"/>
    <w:rsid w:val="00424079"/>
    <w:rsid w:val="00435C60"/>
    <w:rsid w:val="00446839"/>
    <w:rsid w:val="004550F6"/>
    <w:rsid w:val="004567C7"/>
    <w:rsid w:val="00457957"/>
    <w:rsid w:val="0046477F"/>
    <w:rsid w:val="00466FE2"/>
    <w:rsid w:val="00490BF3"/>
    <w:rsid w:val="004A3078"/>
    <w:rsid w:val="004A63EC"/>
    <w:rsid w:val="004C0BD6"/>
    <w:rsid w:val="004C2C27"/>
    <w:rsid w:val="004D0FAC"/>
    <w:rsid w:val="004D4E77"/>
    <w:rsid w:val="0050213E"/>
    <w:rsid w:val="00502257"/>
    <w:rsid w:val="0051447B"/>
    <w:rsid w:val="00527855"/>
    <w:rsid w:val="005330A7"/>
    <w:rsid w:val="00537AC2"/>
    <w:rsid w:val="005435E7"/>
    <w:rsid w:val="00544463"/>
    <w:rsid w:val="00573C2F"/>
    <w:rsid w:val="005977F4"/>
    <w:rsid w:val="005A0BC7"/>
    <w:rsid w:val="005A72B3"/>
    <w:rsid w:val="005B0422"/>
    <w:rsid w:val="005B5E77"/>
    <w:rsid w:val="005C43C9"/>
    <w:rsid w:val="005E18E6"/>
    <w:rsid w:val="006029A4"/>
    <w:rsid w:val="00610738"/>
    <w:rsid w:val="00612170"/>
    <w:rsid w:val="006311E3"/>
    <w:rsid w:val="00653277"/>
    <w:rsid w:val="00673C00"/>
    <w:rsid w:val="00685CFB"/>
    <w:rsid w:val="0068641D"/>
    <w:rsid w:val="00695877"/>
    <w:rsid w:val="006A15CA"/>
    <w:rsid w:val="006A3B4F"/>
    <w:rsid w:val="006B69D3"/>
    <w:rsid w:val="006C086D"/>
    <w:rsid w:val="006C1903"/>
    <w:rsid w:val="006D0361"/>
    <w:rsid w:val="006E6E26"/>
    <w:rsid w:val="006F085C"/>
    <w:rsid w:val="006F4010"/>
    <w:rsid w:val="006F4DAF"/>
    <w:rsid w:val="00703FED"/>
    <w:rsid w:val="00705E76"/>
    <w:rsid w:val="007252AD"/>
    <w:rsid w:val="00735C2C"/>
    <w:rsid w:val="00742237"/>
    <w:rsid w:val="0075295D"/>
    <w:rsid w:val="00766365"/>
    <w:rsid w:val="00766717"/>
    <w:rsid w:val="0077739C"/>
    <w:rsid w:val="007834BC"/>
    <w:rsid w:val="007860C9"/>
    <w:rsid w:val="00792879"/>
    <w:rsid w:val="00797D76"/>
    <w:rsid w:val="007A072C"/>
    <w:rsid w:val="007A134B"/>
    <w:rsid w:val="007A1EC2"/>
    <w:rsid w:val="007A481D"/>
    <w:rsid w:val="007A5D47"/>
    <w:rsid w:val="007D0996"/>
    <w:rsid w:val="007E22AC"/>
    <w:rsid w:val="007E676A"/>
    <w:rsid w:val="007E7F66"/>
    <w:rsid w:val="007F1818"/>
    <w:rsid w:val="007F2224"/>
    <w:rsid w:val="007F41E7"/>
    <w:rsid w:val="007F4A51"/>
    <w:rsid w:val="00804D71"/>
    <w:rsid w:val="00811534"/>
    <w:rsid w:val="00831C11"/>
    <w:rsid w:val="00832FA7"/>
    <w:rsid w:val="00834702"/>
    <w:rsid w:val="00841FF7"/>
    <w:rsid w:val="00852159"/>
    <w:rsid w:val="00866460"/>
    <w:rsid w:val="00876A03"/>
    <w:rsid w:val="008774B6"/>
    <w:rsid w:val="00886143"/>
    <w:rsid w:val="0089548B"/>
    <w:rsid w:val="008B5851"/>
    <w:rsid w:val="008B675F"/>
    <w:rsid w:val="008D204D"/>
    <w:rsid w:val="008E1EAA"/>
    <w:rsid w:val="008E4776"/>
    <w:rsid w:val="008E6BCE"/>
    <w:rsid w:val="008F3642"/>
    <w:rsid w:val="009005BB"/>
    <w:rsid w:val="00901F22"/>
    <w:rsid w:val="009131A7"/>
    <w:rsid w:val="00923D3C"/>
    <w:rsid w:val="0094270B"/>
    <w:rsid w:val="00970EEF"/>
    <w:rsid w:val="009864AE"/>
    <w:rsid w:val="009B2105"/>
    <w:rsid w:val="009E1EA7"/>
    <w:rsid w:val="009E210C"/>
    <w:rsid w:val="009F5491"/>
    <w:rsid w:val="00A019CE"/>
    <w:rsid w:val="00A01CBD"/>
    <w:rsid w:val="00A146CF"/>
    <w:rsid w:val="00A22184"/>
    <w:rsid w:val="00A3004D"/>
    <w:rsid w:val="00A3089A"/>
    <w:rsid w:val="00A346E5"/>
    <w:rsid w:val="00A43334"/>
    <w:rsid w:val="00A43A99"/>
    <w:rsid w:val="00A47699"/>
    <w:rsid w:val="00A5148D"/>
    <w:rsid w:val="00A521C0"/>
    <w:rsid w:val="00A71010"/>
    <w:rsid w:val="00A7454F"/>
    <w:rsid w:val="00AA7BA2"/>
    <w:rsid w:val="00AC3C96"/>
    <w:rsid w:val="00AC68AF"/>
    <w:rsid w:val="00AE0E73"/>
    <w:rsid w:val="00AE2DB5"/>
    <w:rsid w:val="00AF011F"/>
    <w:rsid w:val="00B02713"/>
    <w:rsid w:val="00B148AE"/>
    <w:rsid w:val="00B26825"/>
    <w:rsid w:val="00B3328C"/>
    <w:rsid w:val="00B340AB"/>
    <w:rsid w:val="00B55ABD"/>
    <w:rsid w:val="00B573D2"/>
    <w:rsid w:val="00B575E9"/>
    <w:rsid w:val="00B64454"/>
    <w:rsid w:val="00B74AEE"/>
    <w:rsid w:val="00B77AB4"/>
    <w:rsid w:val="00B835B0"/>
    <w:rsid w:val="00B9365C"/>
    <w:rsid w:val="00BA5804"/>
    <w:rsid w:val="00BB17BD"/>
    <w:rsid w:val="00BB22DB"/>
    <w:rsid w:val="00BB79AA"/>
    <w:rsid w:val="00BC6A6F"/>
    <w:rsid w:val="00BC7D0B"/>
    <w:rsid w:val="00BD2C11"/>
    <w:rsid w:val="00BD4E20"/>
    <w:rsid w:val="00BF5A79"/>
    <w:rsid w:val="00C1118D"/>
    <w:rsid w:val="00C12773"/>
    <w:rsid w:val="00C21919"/>
    <w:rsid w:val="00C2541F"/>
    <w:rsid w:val="00C357F3"/>
    <w:rsid w:val="00C434B5"/>
    <w:rsid w:val="00C52DCB"/>
    <w:rsid w:val="00C62164"/>
    <w:rsid w:val="00C721AA"/>
    <w:rsid w:val="00C83451"/>
    <w:rsid w:val="00C94AF8"/>
    <w:rsid w:val="00C96174"/>
    <w:rsid w:val="00CA55B0"/>
    <w:rsid w:val="00CB5F5A"/>
    <w:rsid w:val="00CC7DC5"/>
    <w:rsid w:val="00CE5648"/>
    <w:rsid w:val="00CF2AA1"/>
    <w:rsid w:val="00CF7CD1"/>
    <w:rsid w:val="00D0686E"/>
    <w:rsid w:val="00D21E51"/>
    <w:rsid w:val="00D31AEB"/>
    <w:rsid w:val="00D33677"/>
    <w:rsid w:val="00D340F4"/>
    <w:rsid w:val="00D5133D"/>
    <w:rsid w:val="00D52774"/>
    <w:rsid w:val="00D540EA"/>
    <w:rsid w:val="00D63130"/>
    <w:rsid w:val="00D653DF"/>
    <w:rsid w:val="00D8117A"/>
    <w:rsid w:val="00D902BF"/>
    <w:rsid w:val="00DB2EC1"/>
    <w:rsid w:val="00DB5026"/>
    <w:rsid w:val="00DC750D"/>
    <w:rsid w:val="00DD69DE"/>
    <w:rsid w:val="00DD7686"/>
    <w:rsid w:val="00DE2986"/>
    <w:rsid w:val="00DE2D0C"/>
    <w:rsid w:val="00DF2185"/>
    <w:rsid w:val="00DF5AD3"/>
    <w:rsid w:val="00E0679E"/>
    <w:rsid w:val="00E15803"/>
    <w:rsid w:val="00E23B4D"/>
    <w:rsid w:val="00E24A16"/>
    <w:rsid w:val="00E334D6"/>
    <w:rsid w:val="00E42AB9"/>
    <w:rsid w:val="00E73E0F"/>
    <w:rsid w:val="00E82A64"/>
    <w:rsid w:val="00EA0783"/>
    <w:rsid w:val="00EA1FBB"/>
    <w:rsid w:val="00EA4B27"/>
    <w:rsid w:val="00EB46D0"/>
    <w:rsid w:val="00ED3553"/>
    <w:rsid w:val="00ED4E14"/>
    <w:rsid w:val="00ED589E"/>
    <w:rsid w:val="00EE23A6"/>
    <w:rsid w:val="00EF0F65"/>
    <w:rsid w:val="00EF2CE7"/>
    <w:rsid w:val="00F36608"/>
    <w:rsid w:val="00F52F05"/>
    <w:rsid w:val="00F644CF"/>
    <w:rsid w:val="00F722A8"/>
    <w:rsid w:val="00F72321"/>
    <w:rsid w:val="00F779AC"/>
    <w:rsid w:val="00F93BE9"/>
    <w:rsid w:val="00FA6E79"/>
    <w:rsid w:val="00FB4709"/>
    <w:rsid w:val="00FB78ED"/>
    <w:rsid w:val="00FC1160"/>
    <w:rsid w:val="00FC170D"/>
    <w:rsid w:val="00FE4883"/>
    <w:rsid w:val="00FE60E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936FD"/>
  <w15:docId w15:val="{CFFEB78B-146D-4AEE-A061-7BA30257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72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3B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957"/>
  </w:style>
  <w:style w:type="paragraph" w:styleId="Pieddepage">
    <w:name w:val="footer"/>
    <w:basedOn w:val="Normal"/>
    <w:link w:val="PieddepageCar"/>
    <w:uiPriority w:val="99"/>
    <w:unhideWhenUsed/>
    <w:rsid w:val="0045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95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56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56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5648"/>
    <w:rPr>
      <w:vertAlign w:val="superscript"/>
    </w:rPr>
  </w:style>
  <w:style w:type="table" w:styleId="Grilledutableau">
    <w:name w:val="Table Grid"/>
    <w:basedOn w:val="TableauNormal"/>
    <w:rsid w:val="0042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A1FBB"/>
    <w:rPr>
      <w:rFonts w:ascii="Arial" w:hAnsi="Arial" w:cs="Arial" w:hint="default"/>
      <w:strike w:val="0"/>
      <w:dstrike w:val="0"/>
      <w:color w:val="286ED7"/>
      <w:sz w:val="21"/>
      <w:szCs w:val="21"/>
      <w:u w:val="none"/>
      <w:effect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804D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4D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4D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4D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4D71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C2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D0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s-idf-dos-mgs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at.social.gouv.fr/commencer/arsif-appel-a-candidatures-pour-les-postes-partages-aum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0C91-360D-4407-869C-6414034D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1368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MOLINIER, Marie</dc:creator>
  <cp:lastModifiedBy>INTCIGARAY, Valérie</cp:lastModifiedBy>
  <cp:revision>16</cp:revision>
  <cp:lastPrinted>2023-04-04T13:28:00Z</cp:lastPrinted>
  <dcterms:created xsi:type="dcterms:W3CDTF">2023-03-16T10:23:00Z</dcterms:created>
  <dcterms:modified xsi:type="dcterms:W3CDTF">2023-04-06T08:41:00Z</dcterms:modified>
</cp:coreProperties>
</file>