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94C54" w14:textId="77777777" w:rsidR="009E11C7" w:rsidRDefault="009E11C7" w:rsidP="009E11C7">
      <w:pPr>
        <w:spacing w:after="0"/>
        <w:rPr>
          <w:u w:val="single"/>
        </w:rPr>
      </w:pPr>
      <w:r>
        <w:rPr>
          <w:noProof/>
          <w:u w:val="single"/>
          <w:lang w:eastAsia="fr-FR"/>
        </w:rPr>
        <w:drawing>
          <wp:anchor distT="0" distB="0" distL="114300" distR="114300" simplePos="0" relativeHeight="251670528" behindDoc="0" locked="1" layoutInCell="1" allowOverlap="1" wp14:anchorId="2EF954C0" wp14:editId="2E3513A2">
            <wp:simplePos x="0" y="0"/>
            <wp:positionH relativeFrom="column">
              <wp:posOffset>-274320</wp:posOffset>
            </wp:positionH>
            <wp:positionV relativeFrom="paragraph">
              <wp:posOffset>-409575</wp:posOffset>
            </wp:positionV>
            <wp:extent cx="1475740" cy="845185"/>
            <wp:effectExtent l="0" t="0" r="0" b="0"/>
            <wp:wrapNone/>
            <wp:docPr id="7" name="Image 7"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S_LOGOS_i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11FEDE" w14:textId="77777777" w:rsidR="009E11C7" w:rsidRDefault="009E11C7" w:rsidP="009E11C7">
      <w:pPr>
        <w:spacing w:after="0"/>
        <w:rPr>
          <w:u w:val="single"/>
        </w:rPr>
      </w:pPr>
    </w:p>
    <w:p w14:paraId="0C6B6803" w14:textId="77777777" w:rsidR="009E11C7" w:rsidRDefault="009E11C7" w:rsidP="009E11C7">
      <w:pPr>
        <w:spacing w:after="0"/>
        <w:rPr>
          <w:u w:val="single"/>
        </w:rPr>
      </w:pPr>
    </w:p>
    <w:p w14:paraId="0F81FB02" w14:textId="77777777" w:rsidR="009E11C7" w:rsidRDefault="009E11C7" w:rsidP="009E11C7">
      <w:pPr>
        <w:spacing w:after="0"/>
        <w:rPr>
          <w:u w:val="single"/>
        </w:rPr>
      </w:pPr>
      <w:r w:rsidRPr="00D057D2">
        <w:rPr>
          <w:noProof/>
          <w:u w:val="single"/>
          <w:lang w:eastAsia="fr-FR"/>
        </w:rPr>
        <mc:AlternateContent>
          <mc:Choice Requires="wps">
            <w:drawing>
              <wp:anchor distT="0" distB="0" distL="114300" distR="114300" simplePos="0" relativeHeight="251665408" behindDoc="0" locked="0" layoutInCell="1" allowOverlap="1" wp14:anchorId="453EF376" wp14:editId="1B0EC5E5">
                <wp:simplePos x="0" y="0"/>
                <wp:positionH relativeFrom="column">
                  <wp:posOffset>160909</wp:posOffset>
                </wp:positionH>
                <wp:positionV relativeFrom="paragraph">
                  <wp:posOffset>150165</wp:posOffset>
                </wp:positionV>
                <wp:extent cx="5541645" cy="672998"/>
                <wp:effectExtent l="0" t="0" r="20955" b="1333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672998"/>
                        </a:xfrm>
                        <a:prstGeom prst="rect">
                          <a:avLst/>
                        </a:prstGeom>
                        <a:solidFill>
                          <a:srgbClr val="FFFFFF"/>
                        </a:solidFill>
                        <a:ln w="9525">
                          <a:solidFill>
                            <a:srgbClr val="000000"/>
                          </a:solidFill>
                          <a:miter lim="800000"/>
                          <a:headEnd/>
                          <a:tailEnd/>
                        </a:ln>
                      </wps:spPr>
                      <wps:txbx>
                        <w:txbxContent>
                          <w:p w14:paraId="676AC78D" w14:textId="77777777" w:rsidR="00D057D2" w:rsidRPr="009E11C7" w:rsidRDefault="00D057D2" w:rsidP="009E11C7">
                            <w:pPr>
                              <w:ind w:left="720"/>
                              <w:jc w:val="center"/>
                              <w:rPr>
                                <w:b/>
                                <w:sz w:val="28"/>
                                <w:szCs w:val="28"/>
                              </w:rPr>
                            </w:pPr>
                            <w:r w:rsidRPr="009E11C7">
                              <w:rPr>
                                <w:b/>
                                <w:sz w:val="28"/>
                                <w:szCs w:val="28"/>
                              </w:rPr>
                              <w:t>LES TROD (TESTS RAPIDES D’ORIENTATION DIAGNOSTIQUE ET D’ÉVALUATION)</w:t>
                            </w:r>
                            <w:r w:rsidR="00325B1E">
                              <w:rPr>
                                <w:b/>
                                <w:sz w:val="28"/>
                                <w:szCs w:val="28"/>
                              </w:rPr>
                              <w:t xml:space="preserve"> EN PHARMACIE D’OFFICINE</w:t>
                            </w:r>
                          </w:p>
                          <w:p w14:paraId="06765281" w14:textId="77777777" w:rsidR="00D057D2" w:rsidRDefault="00D057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3EF376" id="_x0000_t202" coordsize="21600,21600" o:spt="202" path="m,l,21600r21600,l21600,xe">
                <v:stroke joinstyle="miter"/>
                <v:path gradientshapeok="t" o:connecttype="rect"/>
              </v:shapetype>
              <v:shape id="Zone de texte 2" o:spid="_x0000_s1026" type="#_x0000_t202" style="position:absolute;margin-left:12.65pt;margin-top:11.8pt;width:436.35pt;height: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">
                <v:textbox>
                  <w:txbxContent>
                    <w:p w14:paraId="676AC78D" w14:textId="77777777" w:rsidR="00D057D2" w:rsidRPr="009E11C7" w:rsidRDefault="00D057D2" w:rsidP="009E11C7">
                      <w:pPr>
                        <w:ind w:left="720"/>
                        <w:jc w:val="center"/>
                        <w:rPr>
                          <w:b/>
                          <w:sz w:val="28"/>
                          <w:szCs w:val="28"/>
                        </w:rPr>
                      </w:pPr>
                      <w:r w:rsidRPr="009E11C7">
                        <w:rPr>
                          <w:b/>
                          <w:sz w:val="28"/>
                          <w:szCs w:val="28"/>
                        </w:rPr>
                        <w:t>LES TROD (TESTS RAPIDES D’ORIENTATION DIAGNOSTIQUE ET D’ÉVALUATION)</w:t>
                      </w:r>
                      <w:r w:rsidR="00325B1E">
                        <w:rPr>
                          <w:b/>
                          <w:sz w:val="28"/>
                          <w:szCs w:val="28"/>
                        </w:rPr>
                        <w:t xml:space="preserve"> EN PHARMACIE D’OFFICINE</w:t>
                      </w:r>
                    </w:p>
                    <w:p w14:paraId="06765281" w14:textId="77777777" w:rsidR="00D057D2" w:rsidRDefault="00D057D2"/>
                  </w:txbxContent>
                </v:textbox>
              </v:shape>
            </w:pict>
          </mc:Fallback>
        </mc:AlternateContent>
      </w:r>
    </w:p>
    <w:p w14:paraId="08872CE2" w14:textId="77777777" w:rsidR="009E11C7" w:rsidRDefault="009E11C7" w:rsidP="009E11C7">
      <w:pPr>
        <w:spacing w:after="0"/>
        <w:rPr>
          <w:u w:val="single"/>
        </w:rPr>
      </w:pPr>
    </w:p>
    <w:p w14:paraId="44D19392" w14:textId="77777777" w:rsidR="009E11C7" w:rsidRDefault="009E11C7" w:rsidP="009E11C7">
      <w:pPr>
        <w:spacing w:after="0"/>
        <w:rPr>
          <w:u w:val="single"/>
        </w:rPr>
      </w:pPr>
    </w:p>
    <w:p w14:paraId="37172E18" w14:textId="77777777" w:rsidR="002622C0" w:rsidRDefault="002622C0" w:rsidP="009E11C7">
      <w:pPr>
        <w:spacing w:after="0"/>
        <w:rPr>
          <w:u w:val="single"/>
        </w:rPr>
      </w:pPr>
    </w:p>
    <w:p w14:paraId="0F501155" w14:textId="77777777" w:rsidR="009E11C7" w:rsidRDefault="009E11C7" w:rsidP="009E11C7">
      <w:pPr>
        <w:spacing w:after="0"/>
        <w:rPr>
          <w:u w:val="single"/>
        </w:rPr>
      </w:pPr>
    </w:p>
    <w:p w14:paraId="0DB5AFB7" w14:textId="77777777" w:rsidR="00333F61" w:rsidRPr="00333F61" w:rsidRDefault="00333F61" w:rsidP="009E11C7">
      <w:pPr>
        <w:spacing w:after="0"/>
      </w:pPr>
      <w:r w:rsidRPr="00333F61">
        <w:rPr>
          <w:b/>
          <w:bCs/>
        </w:rPr>
        <w:t> </w:t>
      </w:r>
      <w:r w:rsidRPr="00333F61">
        <w:rPr>
          <w:b/>
          <w:bCs/>
          <w:u w:val="single"/>
        </w:rPr>
        <w:t>1. DEFINITION</w:t>
      </w:r>
    </w:p>
    <w:p w14:paraId="0E22BE0D" w14:textId="77777777" w:rsidR="000E3662" w:rsidRDefault="00333F61" w:rsidP="00770CA9">
      <w:pPr>
        <w:spacing w:after="0"/>
        <w:jc w:val="both"/>
      </w:pPr>
      <w:r w:rsidRPr="00333F61">
        <w:t xml:space="preserve">Un TROD est un </w:t>
      </w:r>
      <w:r w:rsidRPr="00333F61">
        <w:rPr>
          <w:b/>
          <w:bCs/>
        </w:rPr>
        <w:t>DMDIV</w:t>
      </w:r>
      <w:r w:rsidRPr="00333F61">
        <w:t xml:space="preserve"> (dispositif médical in vitro) (Art. L.5122-1 et R.5122-1 du CSP par transposition de la directive 98/79/CE) destiné à être utilisé par un professionnel de santé ou par une personne formée. Il s’agit de réaliser un test, recueil ou traitement de signal biologique </w:t>
      </w:r>
      <w:r w:rsidRPr="00333F61">
        <w:rPr>
          <w:b/>
          <w:bCs/>
        </w:rPr>
        <w:t xml:space="preserve">à visée d'orientation diagnostique </w:t>
      </w:r>
      <w:r w:rsidRPr="00333F61">
        <w:t>(Art. L6211-3 du CSP).</w:t>
      </w:r>
    </w:p>
    <w:p w14:paraId="65E19F89" w14:textId="77777777" w:rsidR="000E3662" w:rsidRPr="00333F61" w:rsidRDefault="000E3662" w:rsidP="00770CA9">
      <w:pPr>
        <w:spacing w:after="0"/>
        <w:jc w:val="both"/>
      </w:pPr>
    </w:p>
    <w:p w14:paraId="1BB2280F" w14:textId="77777777" w:rsidR="00333F61" w:rsidRPr="00333F61" w:rsidRDefault="00333F61" w:rsidP="00770CA9">
      <w:pPr>
        <w:spacing w:after="0"/>
        <w:jc w:val="both"/>
      </w:pPr>
      <w:r w:rsidRPr="00333F61">
        <w:t>Sa mise sur le marché est conditionnée à l’obtention du marquage CE garant de la conformité du produit à la directive 98/79/CE sauf dérogation signalée par l’ANSM.</w:t>
      </w:r>
    </w:p>
    <w:p w14:paraId="1CB78066" w14:textId="77777777" w:rsidR="00333F61" w:rsidRPr="00333F61" w:rsidRDefault="00333F61" w:rsidP="00770CA9">
      <w:pPr>
        <w:spacing w:after="0"/>
        <w:jc w:val="both"/>
      </w:pPr>
      <w:r w:rsidRPr="00333F61">
        <w:t> </w:t>
      </w:r>
    </w:p>
    <w:p w14:paraId="46C57E54" w14:textId="77777777" w:rsidR="00333F61" w:rsidRDefault="00333F61" w:rsidP="00770CA9">
      <w:pPr>
        <w:spacing w:after="0"/>
        <w:jc w:val="both"/>
      </w:pPr>
      <w:r w:rsidRPr="00333F61">
        <w:t>Les conditions de réalisation des TROD sont décrites dans un arrêté</w:t>
      </w:r>
      <w:r w:rsidR="002622C0">
        <w:t xml:space="preserve"> (cf. ci-dessous)</w:t>
      </w:r>
      <w:r w:rsidRPr="00333F61">
        <w:t xml:space="preserve"> qui détermine les types de TROD autorisés, les professionnels de sant</w:t>
      </w:r>
      <w:r w:rsidR="00770CA9">
        <w:t xml:space="preserve">é habilités à réaliser ces TROD </w:t>
      </w:r>
      <w:r w:rsidRPr="00333F61">
        <w:t xml:space="preserve">et les conditions dans lesquelles ils doivent être réalisés. </w:t>
      </w:r>
    </w:p>
    <w:p w14:paraId="218C3BFA" w14:textId="77777777" w:rsidR="002622C0" w:rsidRDefault="002622C0" w:rsidP="00770CA9">
      <w:pPr>
        <w:spacing w:after="0"/>
        <w:jc w:val="both"/>
      </w:pPr>
      <w:r w:rsidRPr="000E3662">
        <w:rPr>
          <w:noProof/>
          <w:lang w:eastAsia="fr-FR"/>
        </w:rPr>
        <mc:AlternateContent>
          <mc:Choice Requires="wps">
            <w:drawing>
              <wp:anchor distT="0" distB="0" distL="114300" distR="114300" simplePos="0" relativeHeight="251661312" behindDoc="0" locked="0" layoutInCell="1" allowOverlap="1" wp14:anchorId="20CA955F" wp14:editId="16D11350">
                <wp:simplePos x="0" y="0"/>
                <wp:positionH relativeFrom="column">
                  <wp:posOffset>-118745</wp:posOffset>
                </wp:positionH>
                <wp:positionV relativeFrom="paragraph">
                  <wp:posOffset>121285</wp:posOffset>
                </wp:positionV>
                <wp:extent cx="6296025" cy="544195"/>
                <wp:effectExtent l="57150" t="19050" r="85725" b="103505"/>
                <wp:wrapNone/>
                <wp:docPr id="1" name="Rectangle à coins arrondis 7"/>
                <wp:cNvGraphicFramePr/>
                <a:graphic xmlns:a="http://schemas.openxmlformats.org/drawingml/2006/main">
                  <a:graphicData uri="http://schemas.microsoft.com/office/word/2010/wordprocessingShape">
                    <wps:wsp>
                      <wps:cNvSpPr/>
                      <wps:spPr>
                        <a:xfrm>
                          <a:off x="0" y="0"/>
                          <a:ext cx="6296025" cy="544195"/>
                        </a:xfrm>
                        <a:prstGeom prst="roundRect">
                          <a:avLst/>
                        </a:prstGeom>
                        <a:solidFill>
                          <a:srgbClr val="1F497D">
                            <a:lumMod val="20000"/>
                            <a:lumOff val="80000"/>
                          </a:srgbClr>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52040949" w14:textId="77777777" w:rsidR="002622C0" w:rsidRDefault="002622C0" w:rsidP="002622C0">
                            <w:pPr>
                              <w:spacing w:after="0"/>
                              <w:jc w:val="both"/>
                            </w:pPr>
                            <w:r w:rsidRPr="00333F61">
                              <w:t>Les TROD diffèrent des autotests, car ces derniers sont destinés à être réalisés par les patients eux-mêmes (exemples : test de grossesse, test d’ovulation, autosurveillance glycémique…)</w:t>
                            </w:r>
                          </w:p>
                          <w:p w14:paraId="7FE51B91" w14:textId="77777777" w:rsidR="002622C0" w:rsidRDefault="002622C0" w:rsidP="002622C0">
                            <w:pPr>
                              <w:pStyle w:val="NormalWeb"/>
                              <w:spacing w:before="0" w:beforeAutospacing="0" w:after="0" w:afterAutospacing="0"/>
                              <w:jc w:val="both"/>
                            </w:pPr>
                          </w:p>
                        </w:txbxContent>
                      </wps:txbx>
                      <wps:bodyPr wrap="square" rtlCol="0" anchor="ctr">
                        <a:noAutofit/>
                      </wps:bodyPr>
                    </wps:wsp>
                  </a:graphicData>
                </a:graphic>
              </wp:anchor>
            </w:drawing>
          </mc:Choice>
          <mc:Fallback>
            <w:pict>
              <v:roundrect w14:anchorId="20CA955F" id="Rectangle à coins arrondis 7" o:spid="_x0000_s1027" style="position:absolute;left:0;text-align:left;margin-left:-9.35pt;margin-top:9.55pt;width:495.75pt;height:42.8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" fillcolor="#c6d9f1" strokecolor="#4a7ebb">
                <v:shadow on="t" color="black" opacity="22937f" origin=",.5" offset="0,.63889mm"/>
                <v:textbox>
                  <w:txbxContent>
                    <w:p w14:paraId="52040949" w14:textId="77777777" w:rsidR="002622C0" w:rsidRDefault="002622C0" w:rsidP="002622C0">
                      <w:pPr>
                        <w:spacing w:after="0"/>
                        <w:jc w:val="both"/>
                      </w:pPr>
                      <w:r w:rsidRPr="00333F61">
                        <w:t xml:space="preserve">Les TROD diffèrent des autotests, car ces derniers sont destinés à être réalisés par les patients eux-mêmes (exemples : test de grossesse, test d’ovulation, </w:t>
                      </w:r>
                      <w:proofErr w:type="spellStart"/>
                      <w:r w:rsidRPr="00333F61">
                        <w:t>autosurveillance</w:t>
                      </w:r>
                      <w:proofErr w:type="spellEnd"/>
                      <w:r w:rsidRPr="00333F61">
                        <w:t xml:space="preserve"> glycémique…)</w:t>
                      </w:r>
                    </w:p>
                    <w:p w14:paraId="7FE51B91" w14:textId="77777777" w:rsidR="002622C0" w:rsidRDefault="002622C0" w:rsidP="002622C0">
                      <w:pPr>
                        <w:pStyle w:val="NormalWeb"/>
                        <w:spacing w:before="0" w:beforeAutospacing="0" w:after="0" w:afterAutospacing="0"/>
                        <w:jc w:val="both"/>
                      </w:pPr>
                    </w:p>
                  </w:txbxContent>
                </v:textbox>
              </v:roundrect>
            </w:pict>
          </mc:Fallback>
        </mc:AlternateContent>
      </w:r>
    </w:p>
    <w:p w14:paraId="1BE5A909" w14:textId="77777777" w:rsidR="002622C0" w:rsidRDefault="002622C0" w:rsidP="00770CA9">
      <w:pPr>
        <w:spacing w:after="0"/>
        <w:jc w:val="both"/>
      </w:pPr>
    </w:p>
    <w:p w14:paraId="54926F1F" w14:textId="77777777" w:rsidR="002622C0" w:rsidRDefault="002622C0" w:rsidP="00770CA9">
      <w:pPr>
        <w:spacing w:after="0"/>
        <w:jc w:val="both"/>
      </w:pPr>
    </w:p>
    <w:p w14:paraId="10BDE297" w14:textId="77777777" w:rsidR="002622C0" w:rsidRDefault="002622C0" w:rsidP="00770CA9">
      <w:pPr>
        <w:spacing w:after="0"/>
        <w:jc w:val="both"/>
      </w:pPr>
    </w:p>
    <w:p w14:paraId="5FAA64AA" w14:textId="77777777" w:rsidR="002622C0" w:rsidRPr="00333F61" w:rsidRDefault="002622C0" w:rsidP="00770CA9">
      <w:pPr>
        <w:spacing w:after="0"/>
        <w:jc w:val="both"/>
      </w:pPr>
    </w:p>
    <w:p w14:paraId="26E4B53C" w14:textId="77777777" w:rsidR="00333F61" w:rsidRPr="00333F61" w:rsidRDefault="00333F61" w:rsidP="00770CA9">
      <w:pPr>
        <w:spacing w:after="0"/>
        <w:jc w:val="both"/>
      </w:pPr>
      <w:r>
        <w:t xml:space="preserve">Selon les dispositions de </w:t>
      </w:r>
      <w:r w:rsidRPr="00333F61">
        <w:t>l’</w:t>
      </w:r>
      <w:hyperlink r:id="rId9" w:history="1">
        <w:r w:rsidRPr="00546DAE">
          <w:rPr>
            <w:rStyle w:val="Lienhypertexte"/>
          </w:rPr>
          <w:t>arrêté du 1er août 2016</w:t>
        </w:r>
      </w:hyperlink>
      <w:r w:rsidRPr="00333F61">
        <w:t xml:space="preserve"> </w:t>
      </w:r>
      <w:r w:rsidRPr="001A787A">
        <w:rPr>
          <w:i/>
        </w:rPr>
        <w:t>déterminant la liste des tests, recueils et traitements de signaux biologiques qui ne constituent pas un examen de biologie médicale, les catégories de personnes pouvant les réaliser et les conditions de réalisation de certains de ces tests, recueils et traitements de signaux biologiques</w:t>
      </w:r>
      <w:r w:rsidR="005C0808">
        <w:rPr>
          <w:i/>
        </w:rPr>
        <w:t xml:space="preserve"> </w:t>
      </w:r>
      <w:r w:rsidR="005C0808">
        <w:t xml:space="preserve">modifié par </w:t>
      </w:r>
      <w:hyperlink r:id="rId10" w:history="1">
        <w:r w:rsidR="005C0808" w:rsidRPr="005C0808">
          <w:rPr>
            <w:rStyle w:val="Lienhypertexte"/>
          </w:rPr>
          <w:t>arrêté du 13 juillet 2023</w:t>
        </w:r>
      </w:hyperlink>
      <w:r>
        <w:t>, l</w:t>
      </w:r>
      <w:r w:rsidRPr="00333F61">
        <w:t>es pharmaciens</w:t>
      </w:r>
      <w:r>
        <w:t xml:space="preserve"> sont autorisés</w:t>
      </w:r>
      <w:r w:rsidRPr="00333F61">
        <w:t xml:space="preserve"> à réaliser </w:t>
      </w:r>
      <w:r w:rsidR="005C0808">
        <w:t>quatre</w:t>
      </w:r>
      <w:r w:rsidRPr="00333F61">
        <w:t xml:space="preserve"> types de TROD</w:t>
      </w:r>
      <w:r w:rsidR="00770CA9">
        <w:t xml:space="preserve"> </w:t>
      </w:r>
      <w:r>
        <w:t>:</w:t>
      </w:r>
    </w:p>
    <w:p w14:paraId="2F0992B8" w14:textId="77777777" w:rsidR="007348B5" w:rsidRPr="00333F61" w:rsidRDefault="00B65F65" w:rsidP="00770CA9">
      <w:pPr>
        <w:numPr>
          <w:ilvl w:val="0"/>
          <w:numId w:val="2"/>
        </w:numPr>
        <w:spacing w:after="0"/>
        <w:jc w:val="both"/>
      </w:pPr>
      <w:r w:rsidRPr="00333F61">
        <w:t xml:space="preserve">le </w:t>
      </w:r>
      <w:r w:rsidRPr="00333F61">
        <w:rPr>
          <w:b/>
          <w:bCs/>
        </w:rPr>
        <w:t>test capillaire d’évaluation de la glycémie</w:t>
      </w:r>
      <w:r w:rsidRPr="00333F61">
        <w:t>,  destiné au repérage d’une glycémie anormale dans le cadre d’une campagne de prévention du diabète ;</w:t>
      </w:r>
    </w:p>
    <w:p w14:paraId="1D4E611B" w14:textId="77777777" w:rsidR="007348B5" w:rsidRPr="00333F61" w:rsidRDefault="00B65F65" w:rsidP="00770CA9">
      <w:pPr>
        <w:numPr>
          <w:ilvl w:val="0"/>
          <w:numId w:val="2"/>
        </w:numPr>
        <w:spacing w:after="0"/>
        <w:jc w:val="both"/>
      </w:pPr>
      <w:r w:rsidRPr="00333F61">
        <w:t xml:space="preserve">le </w:t>
      </w:r>
      <w:r w:rsidR="005C0808">
        <w:rPr>
          <w:b/>
          <w:bCs/>
        </w:rPr>
        <w:t>test</w:t>
      </w:r>
      <w:r w:rsidRPr="00333F61">
        <w:rPr>
          <w:b/>
          <w:bCs/>
        </w:rPr>
        <w:t xml:space="preserve"> oropharyngé des angines à streptocoque A</w:t>
      </w:r>
      <w:r w:rsidRPr="00333F61">
        <w:t>, visant l’orientation diagnostique en faveur d’une angine bactérienne ;</w:t>
      </w:r>
    </w:p>
    <w:p w14:paraId="62F00E7D" w14:textId="77777777" w:rsidR="005C0808" w:rsidRDefault="00B65F65" w:rsidP="00770CA9">
      <w:pPr>
        <w:numPr>
          <w:ilvl w:val="0"/>
          <w:numId w:val="2"/>
        </w:numPr>
        <w:spacing w:after="0"/>
        <w:jc w:val="both"/>
      </w:pPr>
      <w:r w:rsidRPr="00333F61">
        <w:t xml:space="preserve">le </w:t>
      </w:r>
      <w:r w:rsidR="005C0808">
        <w:rPr>
          <w:b/>
          <w:bCs/>
        </w:rPr>
        <w:t>test</w:t>
      </w:r>
      <w:r w:rsidRPr="00333F61">
        <w:rPr>
          <w:b/>
          <w:bCs/>
        </w:rPr>
        <w:t xml:space="preserve"> oropharyngé de la grippe</w:t>
      </w:r>
      <w:r w:rsidRPr="00333F61">
        <w:t>, permettant l’orientation diagnostique en faveur d’une grippe</w:t>
      </w:r>
      <w:r w:rsidR="005C0808">
        <w:t> ;</w:t>
      </w:r>
    </w:p>
    <w:p w14:paraId="2E68CEC4" w14:textId="77777777" w:rsidR="007348B5" w:rsidRPr="00C13164" w:rsidRDefault="005C0808" w:rsidP="00770CA9">
      <w:pPr>
        <w:numPr>
          <w:ilvl w:val="0"/>
          <w:numId w:val="2"/>
        </w:numPr>
        <w:spacing w:after="0"/>
        <w:jc w:val="both"/>
      </w:pPr>
      <w:r w:rsidRPr="00C13164">
        <w:rPr>
          <w:b/>
        </w:rPr>
        <w:t xml:space="preserve">le test urinaire </w:t>
      </w:r>
      <w:r w:rsidRPr="00065526">
        <w:rPr>
          <w:b/>
        </w:rPr>
        <w:t xml:space="preserve">de recherche </w:t>
      </w:r>
      <w:r w:rsidRPr="00065526">
        <w:rPr>
          <w:b/>
          <w:i/>
          <w:iCs/>
        </w:rPr>
        <w:t xml:space="preserve">a minima </w:t>
      </w:r>
      <w:r w:rsidRPr="00065526">
        <w:rPr>
          <w:b/>
        </w:rPr>
        <w:t>de nitriturie et de leucocyturie</w:t>
      </w:r>
      <w:r w:rsidRPr="00065526">
        <w:t>, dans le cadre de bilan de symptôme(s) évocateur(s) d’une cystite aigüe non compliquée chez la femme</w:t>
      </w:r>
      <w:r w:rsidR="00B65F65" w:rsidRPr="00C13164">
        <w:t>.</w:t>
      </w:r>
    </w:p>
    <w:p w14:paraId="05D10AA0" w14:textId="77777777" w:rsidR="005C0808" w:rsidRPr="00333F61" w:rsidRDefault="005C0808" w:rsidP="005C0808">
      <w:pPr>
        <w:spacing w:after="0"/>
        <w:jc w:val="both"/>
      </w:pPr>
    </w:p>
    <w:p w14:paraId="3F91524C" w14:textId="28A11AAA" w:rsidR="006F2DFB" w:rsidRDefault="00897D0E" w:rsidP="00897D0E">
      <w:pPr>
        <w:spacing w:after="0"/>
        <w:jc w:val="both"/>
      </w:pPr>
      <w:r>
        <w:t>Selon les dispositions de l’</w:t>
      </w:r>
      <w:hyperlink r:id="rId11" w:history="1">
        <w:r w:rsidRPr="00897D0E">
          <w:rPr>
            <w:rStyle w:val="Lienhypertexte"/>
          </w:rPr>
          <w:t>arrêté du 1er juin 2021 (art. 27 et 29)</w:t>
        </w:r>
      </w:hyperlink>
      <w:r>
        <w:t xml:space="preserve"> </w:t>
      </w:r>
      <w:r w:rsidRPr="00897D0E">
        <w:rPr>
          <w:i/>
        </w:rPr>
        <w:t xml:space="preserve">relatif aux mesures d'organisation et de fonctionnement du système de santé maintenues en matière de lutte contre la </w:t>
      </w:r>
      <w:r w:rsidR="000A70D0">
        <w:rPr>
          <w:i/>
        </w:rPr>
        <w:t>C</w:t>
      </w:r>
      <w:r w:rsidR="000A70D0" w:rsidRPr="00897D0E">
        <w:rPr>
          <w:i/>
        </w:rPr>
        <w:t xml:space="preserve">ovid </w:t>
      </w:r>
      <w:r w:rsidRPr="00897D0E">
        <w:rPr>
          <w:i/>
        </w:rPr>
        <w:t>19</w:t>
      </w:r>
      <w:r>
        <w:rPr>
          <w:i/>
        </w:rPr>
        <w:t xml:space="preserve">, </w:t>
      </w:r>
      <w:r>
        <w:t>les pharmaciens sont</w:t>
      </w:r>
      <w:r w:rsidR="006F2DFB">
        <w:t xml:space="preserve"> également autorisés de manière exceptionnelle à réaliser :</w:t>
      </w:r>
    </w:p>
    <w:p w14:paraId="450F13F6" w14:textId="77777777" w:rsidR="00897D0E" w:rsidRPr="00897D0E" w:rsidRDefault="006F2DFB" w:rsidP="00897D0E">
      <w:pPr>
        <w:spacing w:after="0"/>
        <w:jc w:val="both"/>
      </w:pPr>
      <w:r>
        <w:t xml:space="preserve">- </w:t>
      </w:r>
      <w:r w:rsidR="00897D0E" w:rsidRPr="006F2DFB">
        <w:rPr>
          <w:b/>
          <w:bCs/>
        </w:rPr>
        <w:t xml:space="preserve">des </w:t>
      </w:r>
      <w:r w:rsidRPr="006F2DFB">
        <w:rPr>
          <w:b/>
          <w:bCs/>
        </w:rPr>
        <w:t>TROD sur sang capillaire de détection des anticorps dirigés contre le SARS-CoV-2</w:t>
      </w:r>
      <w:r>
        <w:rPr>
          <w:b/>
          <w:bCs/>
        </w:rPr>
        <w:t> ;</w:t>
      </w:r>
    </w:p>
    <w:p w14:paraId="6E7DA2D9" w14:textId="77777777" w:rsidR="00897D0E" w:rsidRPr="006A6525" w:rsidRDefault="006A6525" w:rsidP="00D057D2">
      <w:pPr>
        <w:spacing w:after="0"/>
        <w:jc w:val="both"/>
        <w:rPr>
          <w:b/>
          <w:bCs/>
        </w:rPr>
      </w:pPr>
      <w:r w:rsidRPr="006A6525">
        <w:rPr>
          <w:b/>
          <w:bCs/>
        </w:rPr>
        <w:t>- des TROD antigéniques sur prélèvement nasal pour la détection du SARS-CoV-2 en période de circulation active du virus.</w:t>
      </w:r>
    </w:p>
    <w:p w14:paraId="64DD60E8" w14:textId="77777777" w:rsidR="00B34955" w:rsidRPr="009E11C7" w:rsidRDefault="00B34955" w:rsidP="00D057D2">
      <w:pPr>
        <w:spacing w:after="0"/>
        <w:jc w:val="both"/>
        <w:rPr>
          <w:b/>
          <w:bCs/>
        </w:rPr>
      </w:pPr>
    </w:p>
    <w:p w14:paraId="1BDB8AB6" w14:textId="77777777" w:rsidR="00333F61" w:rsidRPr="00333F61" w:rsidRDefault="00333F61" w:rsidP="00D057D2">
      <w:pPr>
        <w:spacing w:after="0"/>
      </w:pPr>
      <w:r w:rsidRPr="00333F61">
        <w:rPr>
          <w:b/>
          <w:bCs/>
        </w:rPr>
        <w:t> </w:t>
      </w:r>
      <w:r w:rsidRPr="00333F61">
        <w:rPr>
          <w:b/>
          <w:bCs/>
          <w:u w:val="single"/>
        </w:rPr>
        <w:t>2. CONDITIONS DE REALISATION DES TROD</w:t>
      </w:r>
      <w:r w:rsidRPr="00333F61">
        <w:rPr>
          <w:b/>
          <w:bCs/>
        </w:rPr>
        <w:t> </w:t>
      </w:r>
    </w:p>
    <w:p w14:paraId="50652735" w14:textId="77777777" w:rsidR="00D057D2" w:rsidRDefault="00D057D2" w:rsidP="00D057D2">
      <w:pPr>
        <w:spacing w:after="0"/>
        <w:jc w:val="both"/>
      </w:pPr>
    </w:p>
    <w:p w14:paraId="539DF3D8" w14:textId="77777777" w:rsidR="00333F61" w:rsidRPr="00333F61" w:rsidRDefault="00333F61" w:rsidP="00D057D2">
      <w:pPr>
        <w:spacing w:after="0"/>
        <w:jc w:val="both"/>
      </w:pPr>
      <w:r w:rsidRPr="00333F61">
        <w:t xml:space="preserve">Afin d’obtenir un résultat fiable, l’utilisation d’un TROD doit être </w:t>
      </w:r>
      <w:r w:rsidRPr="00333F61">
        <w:rPr>
          <w:b/>
          <w:bCs/>
        </w:rPr>
        <w:t>maîtrisée</w:t>
      </w:r>
      <w:r w:rsidRPr="00333F61">
        <w:t xml:space="preserve"> par son utilisateur. </w:t>
      </w:r>
    </w:p>
    <w:p w14:paraId="6DA08C45" w14:textId="77777777" w:rsidR="00333F61" w:rsidRPr="00333F61" w:rsidRDefault="00333F61" w:rsidP="00770CA9">
      <w:pPr>
        <w:spacing w:after="0"/>
        <w:jc w:val="both"/>
      </w:pPr>
      <w:r w:rsidRPr="00333F61">
        <w:t>Le pharmacien doit prendre connaissance de la notice d’utilisation du TROD et respecter les conditions de réalisation des TROD à l’officine définies par l’arrêté du 1</w:t>
      </w:r>
      <w:r w:rsidRPr="00333F61">
        <w:rPr>
          <w:vertAlign w:val="superscript"/>
        </w:rPr>
        <w:t>er</w:t>
      </w:r>
      <w:r w:rsidRPr="00333F61">
        <w:t xml:space="preserve"> août 2016, notamment :</w:t>
      </w:r>
    </w:p>
    <w:p w14:paraId="433214FF" w14:textId="77777777" w:rsidR="007348B5" w:rsidRPr="00333F61" w:rsidRDefault="00B65F65" w:rsidP="00770CA9">
      <w:pPr>
        <w:numPr>
          <w:ilvl w:val="0"/>
          <w:numId w:val="3"/>
        </w:numPr>
        <w:spacing w:after="0"/>
        <w:jc w:val="both"/>
      </w:pPr>
      <w:r w:rsidRPr="00333F61">
        <w:t xml:space="preserve">Disposer d’un espace de confidentialité </w:t>
      </w:r>
      <w:r w:rsidR="00767849">
        <w:t>(accessible de</w:t>
      </w:r>
      <w:r w:rsidR="00C13164">
        <w:t>puis</w:t>
      </w:r>
      <w:r w:rsidR="00767849">
        <w:t xml:space="preserve"> l’espace client sans accès </w:t>
      </w:r>
      <w:r w:rsidR="00C13164">
        <w:t xml:space="preserve">possible </w:t>
      </w:r>
      <w:r w:rsidR="00767849">
        <w:t>à des médicaments)</w:t>
      </w:r>
      <w:r w:rsidR="00C13164">
        <w:t xml:space="preserve"> </w:t>
      </w:r>
      <w:r w:rsidRPr="00333F61">
        <w:t>;</w:t>
      </w:r>
    </w:p>
    <w:p w14:paraId="735C640F" w14:textId="77777777" w:rsidR="007348B5" w:rsidRPr="00333F61" w:rsidRDefault="00B65F65" w:rsidP="00770CA9">
      <w:pPr>
        <w:numPr>
          <w:ilvl w:val="0"/>
          <w:numId w:val="3"/>
        </w:numPr>
        <w:spacing w:after="0"/>
        <w:jc w:val="both"/>
      </w:pPr>
      <w:r w:rsidRPr="00333F61">
        <w:t>Disposer d’une procédure d’assurance qualité contenant la fiche de réalisation pratique du test et les modalités de traçabilité des résultats ;</w:t>
      </w:r>
    </w:p>
    <w:p w14:paraId="3A778318" w14:textId="77777777" w:rsidR="007348B5" w:rsidRPr="00333F61" w:rsidRDefault="00B65F65" w:rsidP="00770CA9">
      <w:pPr>
        <w:numPr>
          <w:ilvl w:val="0"/>
          <w:numId w:val="3"/>
        </w:numPr>
        <w:spacing w:after="0"/>
        <w:jc w:val="both"/>
      </w:pPr>
      <w:r w:rsidRPr="00333F61">
        <w:t>Procéder à l’information du patient et du médecin traitant ;</w:t>
      </w:r>
    </w:p>
    <w:p w14:paraId="15ECFC13" w14:textId="77777777" w:rsidR="007348B5" w:rsidRPr="00333F61" w:rsidRDefault="00B65F65" w:rsidP="00770CA9">
      <w:pPr>
        <w:numPr>
          <w:ilvl w:val="0"/>
          <w:numId w:val="3"/>
        </w:numPr>
        <w:spacing w:after="0"/>
        <w:jc w:val="both"/>
      </w:pPr>
      <w:r w:rsidRPr="00333F61">
        <w:t>Tracer le résultat dans le dossier du patient.</w:t>
      </w:r>
    </w:p>
    <w:p w14:paraId="3F8F1BE6" w14:textId="77777777" w:rsidR="002622C0" w:rsidRDefault="002622C0" w:rsidP="00770CA9">
      <w:pPr>
        <w:spacing w:after="0"/>
        <w:jc w:val="both"/>
      </w:pPr>
    </w:p>
    <w:p w14:paraId="702E2CD4" w14:textId="77777777" w:rsidR="002622C0" w:rsidRDefault="002622C0" w:rsidP="00770CA9">
      <w:pPr>
        <w:spacing w:after="0"/>
        <w:jc w:val="both"/>
      </w:pPr>
      <w:r w:rsidRPr="000E3662">
        <w:rPr>
          <w:noProof/>
          <w:lang w:eastAsia="fr-FR"/>
        </w:rPr>
        <mc:AlternateContent>
          <mc:Choice Requires="wps">
            <w:drawing>
              <wp:anchor distT="0" distB="0" distL="114300" distR="114300" simplePos="0" relativeHeight="251663360" behindDoc="0" locked="0" layoutInCell="1" allowOverlap="1" wp14:anchorId="6DDEA792" wp14:editId="11CF7F22">
                <wp:simplePos x="0" y="0"/>
                <wp:positionH relativeFrom="column">
                  <wp:posOffset>-88900</wp:posOffset>
                </wp:positionH>
                <wp:positionV relativeFrom="paragraph">
                  <wp:posOffset>12700</wp:posOffset>
                </wp:positionV>
                <wp:extent cx="6296025" cy="977900"/>
                <wp:effectExtent l="57150" t="19050" r="85725" b="88900"/>
                <wp:wrapNone/>
                <wp:docPr id="2" name="Rectangle à coins arrondis 7"/>
                <wp:cNvGraphicFramePr/>
                <a:graphic xmlns:a="http://schemas.openxmlformats.org/drawingml/2006/main">
                  <a:graphicData uri="http://schemas.microsoft.com/office/word/2010/wordprocessingShape">
                    <wps:wsp>
                      <wps:cNvSpPr/>
                      <wps:spPr>
                        <a:xfrm>
                          <a:off x="0" y="0"/>
                          <a:ext cx="6296025" cy="977900"/>
                        </a:xfrm>
                        <a:prstGeom prst="roundRect">
                          <a:avLst/>
                        </a:prstGeom>
                        <a:solidFill>
                          <a:srgbClr val="1F497D">
                            <a:lumMod val="20000"/>
                            <a:lumOff val="80000"/>
                          </a:srgbClr>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557DF45C" w14:textId="77777777" w:rsidR="002622C0" w:rsidRDefault="002622C0" w:rsidP="002622C0">
                            <w:pPr>
                              <w:spacing w:after="0"/>
                              <w:jc w:val="both"/>
                            </w:pPr>
                            <w:r w:rsidRPr="00333F61">
                              <w:t xml:space="preserve">Toute défaillance ou altération du test ou de l'appareil de mesure susceptible d'entraîner des effets néfastes pour la santé des personnes doit être déclarée sans délai à l’ANSM par mail à : </w:t>
                            </w:r>
                            <w:hyperlink r:id="rId12" w:history="1">
                              <w:r w:rsidRPr="00333F61">
                                <w:rPr>
                                  <w:rStyle w:val="Lienhypertexte"/>
                                </w:rPr>
                                <w:t>reactovigilance@ansm.sante.fr</w:t>
                              </w:r>
                            </w:hyperlink>
                            <w:r w:rsidRPr="00333F61">
                              <w:rPr>
                                <w:u w:val="single"/>
                              </w:rPr>
                              <w:t xml:space="preserve"> </w:t>
                            </w:r>
                            <w:r w:rsidRPr="00333F61">
                              <w:t>.</w:t>
                            </w:r>
                          </w:p>
                        </w:txbxContent>
                      </wps:txbx>
                      <wps:bodyPr wrap="square" rtlCol="0" anchor="ctr">
                        <a:noAutofit/>
                      </wps:bodyPr>
                    </wps:wsp>
                  </a:graphicData>
                </a:graphic>
                <wp14:sizeRelV relativeFrom="margin">
                  <wp14:pctHeight>0</wp14:pctHeight>
                </wp14:sizeRelV>
              </wp:anchor>
            </w:drawing>
          </mc:Choice>
          <mc:Fallback>
            <w:pict>
              <v:roundrect w14:anchorId="6DDEA792" id="_x0000_s1028" style="position:absolute;left:0;text-align:left;margin-left:-7pt;margin-top:1pt;width:495.75pt;height:7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" fillcolor="#c6d9f1" strokecolor="#4a7ebb">
                <v:shadow on="t" color="black" opacity="22937f" origin=",.5" offset="0,.63889mm"/>
                <v:textbox>
                  <w:txbxContent>
                    <w:p w14:paraId="557DF45C" w14:textId="77777777" w:rsidR="002622C0" w:rsidRDefault="002622C0" w:rsidP="002622C0">
                      <w:pPr>
                        <w:spacing w:after="0"/>
                        <w:jc w:val="both"/>
                      </w:pPr>
                      <w:r w:rsidRPr="00333F61">
                        <w:t xml:space="preserve">Toute défaillance ou altération du test ou de l'appareil de mesure susceptible d'entraîner des effets néfastes pour la santé des personnes doit être déclarée sans délai à l’ANSM par mail à : </w:t>
                      </w:r>
                      <w:hyperlink r:id="rId13" w:history="1">
                        <w:r w:rsidRPr="00333F61">
                          <w:rPr>
                            <w:rStyle w:val="Lienhypertexte"/>
                          </w:rPr>
                          <w:t>reactovigilance@ansm.sante.fr</w:t>
                        </w:r>
                      </w:hyperlink>
                      <w:r w:rsidRPr="00333F61">
                        <w:rPr>
                          <w:u w:val="single"/>
                        </w:rPr>
                        <w:t xml:space="preserve"> </w:t>
                      </w:r>
                      <w:r w:rsidRPr="00333F61">
                        <w:t>.</w:t>
                      </w:r>
                    </w:p>
                  </w:txbxContent>
                </v:textbox>
              </v:roundrect>
            </w:pict>
          </mc:Fallback>
        </mc:AlternateContent>
      </w:r>
    </w:p>
    <w:p w14:paraId="367ABEE5" w14:textId="77777777" w:rsidR="002622C0" w:rsidRDefault="002622C0" w:rsidP="00770CA9">
      <w:pPr>
        <w:spacing w:after="0"/>
        <w:jc w:val="both"/>
      </w:pPr>
    </w:p>
    <w:p w14:paraId="1DFA3707" w14:textId="77777777" w:rsidR="002622C0" w:rsidRDefault="002622C0" w:rsidP="00770CA9">
      <w:pPr>
        <w:spacing w:after="0"/>
        <w:jc w:val="both"/>
      </w:pPr>
    </w:p>
    <w:p w14:paraId="231DC73C" w14:textId="77777777" w:rsidR="002622C0" w:rsidRDefault="002622C0" w:rsidP="00770CA9">
      <w:pPr>
        <w:spacing w:after="0"/>
        <w:jc w:val="both"/>
      </w:pPr>
    </w:p>
    <w:p w14:paraId="48710B68" w14:textId="77777777" w:rsidR="002622C0" w:rsidRDefault="002622C0" w:rsidP="00770CA9">
      <w:pPr>
        <w:spacing w:after="0"/>
        <w:jc w:val="both"/>
      </w:pPr>
    </w:p>
    <w:p w14:paraId="33CF80FB" w14:textId="77777777" w:rsidR="002622C0" w:rsidRPr="00333F61" w:rsidRDefault="002622C0" w:rsidP="00770CA9">
      <w:pPr>
        <w:spacing w:after="0"/>
        <w:jc w:val="both"/>
      </w:pPr>
    </w:p>
    <w:p w14:paraId="3A93DBC0" w14:textId="77777777" w:rsidR="00333F61" w:rsidRPr="00333F61" w:rsidRDefault="00333F61" w:rsidP="00770CA9">
      <w:pPr>
        <w:spacing w:after="0"/>
        <w:jc w:val="both"/>
      </w:pPr>
      <w:r w:rsidRPr="00333F61">
        <w:t xml:space="preserve">Il conviendra d’utiliser les équipements de protection individuels (masque, gants, lunettes de protection, visière, blouse) et d’adopter les mesures d’hygiène (lavage des mains, désinfection, cheveux attachés, </w:t>
      </w:r>
      <w:r w:rsidR="000A70D0">
        <w:t xml:space="preserve">collecte des </w:t>
      </w:r>
      <w:r w:rsidRPr="00333F61">
        <w:t>DASRI) adaptés au type de prélèvement effectué.</w:t>
      </w:r>
    </w:p>
    <w:p w14:paraId="556221ED" w14:textId="77777777" w:rsidR="007348B5" w:rsidRPr="00333F61" w:rsidRDefault="00B65F65" w:rsidP="00770CA9">
      <w:pPr>
        <w:numPr>
          <w:ilvl w:val="0"/>
          <w:numId w:val="4"/>
        </w:numPr>
        <w:spacing w:after="0"/>
        <w:jc w:val="both"/>
      </w:pPr>
      <w:r w:rsidRPr="00333F61">
        <w:t>Un TROD n’est pas un acte de biologie médicale et ne se subs</w:t>
      </w:r>
      <w:r w:rsidR="005C0808">
        <w:t>titue pas au diagnostic réalisé</w:t>
      </w:r>
      <w:r w:rsidRPr="00333F61">
        <w:t xml:space="preserve"> au moyen d'un examen de biologie médicale. Le pharmacien doit en informer le patient. Il doit également l’informer que </w:t>
      </w:r>
      <w:r w:rsidRPr="00333F61">
        <w:rPr>
          <w:b/>
          <w:bCs/>
        </w:rPr>
        <w:t xml:space="preserve">le résultat du TROD doit être confirmé par un examen de biologie médicale </w:t>
      </w:r>
      <w:r w:rsidRPr="00333F61">
        <w:t>si la démarche diagnostique ou thérapeutique le justifie.</w:t>
      </w:r>
    </w:p>
    <w:p w14:paraId="30BC5E62" w14:textId="77777777" w:rsidR="007348B5" w:rsidRPr="00333F61" w:rsidRDefault="00B65F65" w:rsidP="00770CA9">
      <w:pPr>
        <w:numPr>
          <w:ilvl w:val="0"/>
          <w:numId w:val="4"/>
        </w:numPr>
        <w:spacing w:after="0"/>
        <w:jc w:val="both"/>
      </w:pPr>
      <w:r w:rsidRPr="00333F61">
        <w:t xml:space="preserve">Le résultat est rendu </w:t>
      </w:r>
      <w:r w:rsidRPr="00333F61">
        <w:rPr>
          <w:b/>
          <w:bCs/>
        </w:rPr>
        <w:t>sous la responsabilité́ du pharmacien réalisant le test</w:t>
      </w:r>
      <w:r w:rsidRPr="00333F61">
        <w:t>.</w:t>
      </w:r>
    </w:p>
    <w:p w14:paraId="457DB4E9" w14:textId="77777777" w:rsidR="00333F61" w:rsidRDefault="00333F61" w:rsidP="00770CA9">
      <w:pPr>
        <w:spacing w:after="0"/>
        <w:jc w:val="both"/>
      </w:pPr>
    </w:p>
    <w:p w14:paraId="02922A49" w14:textId="77777777" w:rsidR="00D057D2" w:rsidRDefault="00D057D2" w:rsidP="00770CA9">
      <w:pPr>
        <w:spacing w:after="0"/>
        <w:jc w:val="both"/>
      </w:pPr>
    </w:p>
    <w:p w14:paraId="3C6CEB9E" w14:textId="77777777" w:rsidR="001A787A" w:rsidRPr="00951DE6" w:rsidRDefault="001A787A" w:rsidP="001A787A">
      <w:pPr>
        <w:rPr>
          <w:b/>
          <w:bCs/>
          <w:u w:val="single"/>
        </w:rPr>
      </w:pPr>
      <w:r w:rsidRPr="001A787A">
        <w:rPr>
          <w:b/>
          <w:bCs/>
        </w:rPr>
        <w:t> </w:t>
      </w:r>
      <w:r w:rsidRPr="001A787A">
        <w:rPr>
          <w:b/>
          <w:bCs/>
          <w:u w:val="single"/>
        </w:rPr>
        <w:t>3. TROD AUTORISES AUX PHARMACIENS</w:t>
      </w:r>
      <w:r w:rsidRPr="001A787A">
        <w:rPr>
          <w:b/>
          <w:bCs/>
        </w:rPr>
        <w:t> </w:t>
      </w:r>
    </w:p>
    <w:tbl>
      <w:tblPr>
        <w:tblW w:w="9980" w:type="dxa"/>
        <w:tblCellMar>
          <w:left w:w="0" w:type="dxa"/>
          <w:right w:w="0" w:type="dxa"/>
        </w:tblCellMar>
        <w:tblLook w:val="00A0" w:firstRow="1" w:lastRow="0" w:firstColumn="1" w:lastColumn="0" w:noHBand="0" w:noVBand="0"/>
      </w:tblPr>
      <w:tblGrid>
        <w:gridCol w:w="2560"/>
        <w:gridCol w:w="3080"/>
        <w:gridCol w:w="2320"/>
        <w:gridCol w:w="2020"/>
      </w:tblGrid>
      <w:tr w:rsidR="001A787A" w:rsidRPr="001A787A" w14:paraId="03DFEE51" w14:textId="77777777" w:rsidTr="001A787A">
        <w:trPr>
          <w:trHeight w:val="480"/>
        </w:trPr>
        <w:tc>
          <w:tcPr>
            <w:tcW w:w="2560" w:type="dxa"/>
            <w:tcBorders>
              <w:top w:val="single" w:sz="6" w:space="0" w:color="4A7EBB"/>
              <w:left w:val="single" w:sz="6" w:space="0" w:color="4A7EBB"/>
              <w:bottom w:val="single" w:sz="6" w:space="0" w:color="4A7EBB"/>
              <w:right w:val="single" w:sz="6" w:space="0" w:color="4A7EBB"/>
            </w:tcBorders>
            <w:shd w:val="clear" w:color="auto" w:fill="4F81BD"/>
            <w:tcMar>
              <w:top w:w="15" w:type="dxa"/>
              <w:left w:w="108" w:type="dxa"/>
              <w:bottom w:w="0" w:type="dxa"/>
              <w:right w:w="108" w:type="dxa"/>
            </w:tcMar>
            <w:vAlign w:val="center"/>
            <w:hideMark/>
          </w:tcPr>
          <w:p w14:paraId="3997CF9D" w14:textId="77777777" w:rsidR="007348B5" w:rsidRPr="001A787A" w:rsidRDefault="001A787A" w:rsidP="001A787A">
            <w:r w:rsidRPr="001A787A">
              <w:rPr>
                <w:b/>
                <w:bCs/>
              </w:rPr>
              <w:t>Tests</w:t>
            </w:r>
          </w:p>
        </w:tc>
        <w:tc>
          <w:tcPr>
            <w:tcW w:w="3080" w:type="dxa"/>
            <w:tcBorders>
              <w:top w:val="single" w:sz="6" w:space="0" w:color="4A7EBB"/>
              <w:left w:val="single" w:sz="6" w:space="0" w:color="4A7EBB"/>
              <w:bottom w:val="single" w:sz="6" w:space="0" w:color="4A7EBB"/>
              <w:right w:val="single" w:sz="6" w:space="0" w:color="4A7EBB"/>
            </w:tcBorders>
            <w:shd w:val="clear" w:color="auto" w:fill="4F81BD"/>
            <w:tcMar>
              <w:top w:w="15" w:type="dxa"/>
              <w:left w:w="108" w:type="dxa"/>
              <w:bottom w:w="0" w:type="dxa"/>
              <w:right w:w="108" w:type="dxa"/>
            </w:tcMar>
            <w:vAlign w:val="center"/>
            <w:hideMark/>
          </w:tcPr>
          <w:p w14:paraId="100481E5" w14:textId="77777777" w:rsidR="007348B5" w:rsidRPr="001A787A" w:rsidRDefault="001A787A" w:rsidP="001A787A">
            <w:r w:rsidRPr="001A787A">
              <w:rPr>
                <w:b/>
                <w:bCs/>
              </w:rPr>
              <w:t> But</w:t>
            </w:r>
          </w:p>
        </w:tc>
        <w:tc>
          <w:tcPr>
            <w:tcW w:w="2320" w:type="dxa"/>
            <w:tcBorders>
              <w:top w:val="single" w:sz="6" w:space="0" w:color="4A7EBB"/>
              <w:left w:val="single" w:sz="6" w:space="0" w:color="4A7EBB"/>
              <w:bottom w:val="single" w:sz="6" w:space="0" w:color="4A7EBB"/>
              <w:right w:val="single" w:sz="6" w:space="0" w:color="4A7EBB"/>
            </w:tcBorders>
            <w:shd w:val="clear" w:color="auto" w:fill="4F81BD"/>
            <w:tcMar>
              <w:top w:w="15" w:type="dxa"/>
              <w:left w:w="108" w:type="dxa"/>
              <w:bottom w:w="0" w:type="dxa"/>
              <w:right w:w="108" w:type="dxa"/>
            </w:tcMar>
            <w:vAlign w:val="center"/>
            <w:hideMark/>
          </w:tcPr>
          <w:p w14:paraId="17F7E916" w14:textId="77777777" w:rsidR="007348B5" w:rsidRPr="001A787A" w:rsidRDefault="001A787A" w:rsidP="001A787A">
            <w:r w:rsidRPr="001A787A">
              <w:rPr>
                <w:b/>
                <w:bCs/>
              </w:rPr>
              <w:t>Conditions restrictives d’utilisation</w:t>
            </w:r>
          </w:p>
        </w:tc>
        <w:tc>
          <w:tcPr>
            <w:tcW w:w="2020" w:type="dxa"/>
            <w:tcBorders>
              <w:top w:val="single" w:sz="6" w:space="0" w:color="4A7EBB"/>
              <w:left w:val="single" w:sz="6" w:space="0" w:color="4A7EBB"/>
              <w:bottom w:val="single" w:sz="6" w:space="0" w:color="4A7EBB"/>
              <w:right w:val="single" w:sz="6" w:space="0" w:color="4A7EBB"/>
            </w:tcBorders>
            <w:shd w:val="clear" w:color="auto" w:fill="4F81BD"/>
            <w:tcMar>
              <w:top w:w="15" w:type="dxa"/>
              <w:left w:w="108" w:type="dxa"/>
              <w:bottom w:w="0" w:type="dxa"/>
              <w:right w:w="108" w:type="dxa"/>
            </w:tcMar>
            <w:vAlign w:val="center"/>
            <w:hideMark/>
          </w:tcPr>
          <w:p w14:paraId="1CB5C1FE" w14:textId="77777777" w:rsidR="007348B5" w:rsidRPr="001A787A" w:rsidRDefault="001A787A" w:rsidP="001A787A">
            <w:r w:rsidRPr="001A787A">
              <w:rPr>
                <w:b/>
                <w:bCs/>
              </w:rPr>
              <w:t> Arrêté</w:t>
            </w:r>
          </w:p>
        </w:tc>
      </w:tr>
      <w:tr w:rsidR="001A787A" w:rsidRPr="001A787A" w14:paraId="0F7954D3" w14:textId="77777777" w:rsidTr="001A787A">
        <w:trPr>
          <w:trHeight w:val="1197"/>
        </w:trPr>
        <w:tc>
          <w:tcPr>
            <w:tcW w:w="256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14:paraId="40C64004" w14:textId="77777777" w:rsidR="007348B5" w:rsidRPr="001A787A" w:rsidRDefault="001A787A" w:rsidP="001A787A">
            <w:r w:rsidRPr="001A787A">
              <w:rPr>
                <w:b/>
                <w:bCs/>
              </w:rPr>
              <w:t xml:space="preserve">Test </w:t>
            </w:r>
            <w:r w:rsidR="000E3662">
              <w:rPr>
                <w:b/>
                <w:bCs/>
              </w:rPr>
              <w:t xml:space="preserve">sur sang </w:t>
            </w:r>
            <w:r w:rsidRPr="001A787A">
              <w:rPr>
                <w:b/>
                <w:bCs/>
              </w:rPr>
              <w:t>capillaire d’évaluation de la glycémie</w:t>
            </w:r>
          </w:p>
        </w:tc>
        <w:tc>
          <w:tcPr>
            <w:tcW w:w="308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14:paraId="1092A1D6" w14:textId="77777777" w:rsidR="007348B5" w:rsidRPr="001A787A" w:rsidRDefault="001A787A" w:rsidP="001A787A">
            <w:r w:rsidRPr="001A787A">
              <w:t>Repérer une glycémie anormale dans le cadre d’une campagne de prévention du diabète</w:t>
            </w:r>
          </w:p>
        </w:tc>
        <w:tc>
          <w:tcPr>
            <w:tcW w:w="232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14:paraId="6457540D" w14:textId="77777777" w:rsidR="007348B5" w:rsidRPr="001A787A" w:rsidRDefault="001A787A" w:rsidP="001A787A">
            <w:r w:rsidRPr="001A787A">
              <w:t>Dans le cadre des campagnes de prévention</w:t>
            </w:r>
          </w:p>
        </w:tc>
        <w:tc>
          <w:tcPr>
            <w:tcW w:w="202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14:paraId="0540513D" w14:textId="77777777" w:rsidR="007348B5" w:rsidRPr="001A787A" w:rsidRDefault="00C04FD9" w:rsidP="001A787A">
            <w:hyperlink r:id="rId14" w:history="1">
              <w:r w:rsidR="001A787A" w:rsidRPr="001A787A">
                <w:rPr>
                  <w:rStyle w:val="Lienhypertexte"/>
                </w:rPr>
                <w:t>Arrêté du 1</w:t>
              </w:r>
            </w:hyperlink>
            <w:hyperlink r:id="rId15" w:history="1">
              <w:r w:rsidR="001A787A" w:rsidRPr="001A787A">
                <w:rPr>
                  <w:rStyle w:val="Lienhypertexte"/>
                  <w:vertAlign w:val="superscript"/>
                </w:rPr>
                <w:t>er</w:t>
              </w:r>
            </w:hyperlink>
            <w:hyperlink r:id="rId16" w:history="1">
              <w:r w:rsidR="001A787A" w:rsidRPr="001A787A">
                <w:rPr>
                  <w:rStyle w:val="Lienhypertexte"/>
                </w:rPr>
                <w:t xml:space="preserve"> août 2016</w:t>
              </w:r>
            </w:hyperlink>
          </w:p>
        </w:tc>
      </w:tr>
      <w:tr w:rsidR="001A787A" w:rsidRPr="001A787A" w14:paraId="4CCB032B" w14:textId="77777777" w:rsidTr="001A787A">
        <w:trPr>
          <w:trHeight w:val="1283"/>
        </w:trPr>
        <w:tc>
          <w:tcPr>
            <w:tcW w:w="256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14:paraId="3CB7D6F4" w14:textId="77777777" w:rsidR="007348B5" w:rsidRPr="001A787A" w:rsidRDefault="001A787A" w:rsidP="001A787A">
            <w:r w:rsidRPr="001A787A">
              <w:rPr>
                <w:b/>
                <w:bCs/>
              </w:rPr>
              <w:t>TROD oro-pharyngé des angines à streptocoque béta-hémolytique du groupe A</w:t>
            </w:r>
          </w:p>
        </w:tc>
        <w:tc>
          <w:tcPr>
            <w:tcW w:w="308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14:paraId="73BE203C" w14:textId="77777777" w:rsidR="007348B5" w:rsidRPr="001A787A" w:rsidRDefault="001A787A" w:rsidP="001A787A">
            <w:r w:rsidRPr="001A787A">
              <w:t>Orientation diagnostique en faveur d’une angine bactérienne</w:t>
            </w:r>
          </w:p>
        </w:tc>
        <w:tc>
          <w:tcPr>
            <w:tcW w:w="232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14:paraId="5FE79694" w14:textId="77777777" w:rsidR="007348B5" w:rsidRPr="001A787A" w:rsidRDefault="007348B5" w:rsidP="001A787A"/>
        </w:tc>
        <w:tc>
          <w:tcPr>
            <w:tcW w:w="202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14:paraId="5288A479" w14:textId="77777777" w:rsidR="007348B5" w:rsidRDefault="00C04FD9" w:rsidP="001A787A">
            <w:pPr>
              <w:rPr>
                <w:rStyle w:val="Lienhypertexte"/>
              </w:rPr>
            </w:pPr>
            <w:hyperlink r:id="rId17" w:history="1">
              <w:r w:rsidR="001A787A" w:rsidRPr="001A787A">
                <w:rPr>
                  <w:rStyle w:val="Lienhypertexte"/>
                </w:rPr>
                <w:t>Arrêté du 1</w:t>
              </w:r>
            </w:hyperlink>
            <w:hyperlink r:id="rId18" w:history="1">
              <w:r w:rsidR="001A787A" w:rsidRPr="001A787A">
                <w:rPr>
                  <w:rStyle w:val="Lienhypertexte"/>
                  <w:vertAlign w:val="superscript"/>
                </w:rPr>
                <w:t>er</w:t>
              </w:r>
            </w:hyperlink>
            <w:hyperlink r:id="rId19" w:history="1">
              <w:r w:rsidR="001A787A" w:rsidRPr="001A787A">
                <w:rPr>
                  <w:rStyle w:val="Lienhypertexte"/>
                </w:rPr>
                <w:t xml:space="preserve"> août 2016</w:t>
              </w:r>
            </w:hyperlink>
          </w:p>
          <w:p w14:paraId="5F1AA7B2" w14:textId="60CD0165" w:rsidR="00E20A5D" w:rsidRDefault="00C04FD9" w:rsidP="00AD5635">
            <w:pPr>
              <w:rPr>
                <w:rStyle w:val="Lienhypertexte"/>
              </w:rPr>
            </w:pPr>
            <w:hyperlink r:id="rId20" w:history="1">
              <w:r w:rsidR="000A70D0">
                <w:rPr>
                  <w:rStyle w:val="Lienhypertexte"/>
                </w:rPr>
                <w:t>A</w:t>
              </w:r>
              <w:r w:rsidR="000A70D0" w:rsidRPr="00AD5635">
                <w:rPr>
                  <w:rStyle w:val="Lienhypertexte"/>
                </w:rPr>
                <w:t xml:space="preserve">rrêté </w:t>
              </w:r>
              <w:r w:rsidR="000A70D0">
                <w:rPr>
                  <w:rStyle w:val="Lienhypertexte"/>
                </w:rPr>
                <w:t xml:space="preserve">du </w:t>
              </w:r>
              <w:r w:rsidR="000A70D0" w:rsidRPr="00AD5635">
                <w:rPr>
                  <w:rStyle w:val="Lienhypertexte"/>
                </w:rPr>
                <w:t>29 juin 2021</w:t>
              </w:r>
            </w:hyperlink>
          </w:p>
          <w:p w14:paraId="1CA04D87" w14:textId="33BB788D" w:rsidR="00780A76" w:rsidRPr="001A787A" w:rsidRDefault="00C04FD9" w:rsidP="000A70D0">
            <w:hyperlink r:id="rId21" w:history="1">
              <w:r w:rsidR="000A70D0">
                <w:rPr>
                  <w:rStyle w:val="Lienhypertexte"/>
                </w:rPr>
                <w:t>A</w:t>
              </w:r>
              <w:r w:rsidR="000A70D0" w:rsidRPr="00780A76">
                <w:rPr>
                  <w:rStyle w:val="Lienhypertexte"/>
                </w:rPr>
                <w:t>rrêté du 31 octobre 2023</w:t>
              </w:r>
            </w:hyperlink>
          </w:p>
        </w:tc>
      </w:tr>
      <w:tr w:rsidR="001A787A" w:rsidRPr="001A787A" w14:paraId="7406679B" w14:textId="77777777" w:rsidTr="001A787A">
        <w:trPr>
          <w:trHeight w:val="1025"/>
        </w:trPr>
        <w:tc>
          <w:tcPr>
            <w:tcW w:w="256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14:paraId="23455B45" w14:textId="77777777" w:rsidR="007348B5" w:rsidRPr="001A787A" w:rsidRDefault="001A787A" w:rsidP="001A787A">
            <w:r w:rsidRPr="001A787A">
              <w:rPr>
                <w:b/>
                <w:bCs/>
              </w:rPr>
              <w:lastRenderedPageBreak/>
              <w:t>TROD oro-pharyngé de la grippe</w:t>
            </w:r>
          </w:p>
        </w:tc>
        <w:tc>
          <w:tcPr>
            <w:tcW w:w="308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14:paraId="36CB26F5" w14:textId="77777777" w:rsidR="007348B5" w:rsidRPr="001A787A" w:rsidRDefault="001A787A" w:rsidP="001A787A">
            <w:r w:rsidRPr="001A787A">
              <w:t>Orientation diagnostique en faveur d’une grippe</w:t>
            </w:r>
          </w:p>
        </w:tc>
        <w:tc>
          <w:tcPr>
            <w:tcW w:w="232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14:paraId="2AA24405" w14:textId="77777777" w:rsidR="007348B5" w:rsidRPr="001A787A" w:rsidRDefault="001A787A" w:rsidP="001A787A">
            <w:r w:rsidRPr="001A787A">
              <w:t>Non recommandé en dehors des périodes épidémiques</w:t>
            </w:r>
          </w:p>
        </w:tc>
        <w:tc>
          <w:tcPr>
            <w:tcW w:w="202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14:paraId="2E184471" w14:textId="77777777" w:rsidR="007348B5" w:rsidRPr="001A787A" w:rsidRDefault="00C04FD9" w:rsidP="001A787A">
            <w:hyperlink r:id="rId22" w:history="1">
              <w:r w:rsidR="001A787A" w:rsidRPr="001A787A">
                <w:rPr>
                  <w:rStyle w:val="Lienhypertexte"/>
                </w:rPr>
                <w:t>Arrêté du 1</w:t>
              </w:r>
            </w:hyperlink>
            <w:hyperlink r:id="rId23" w:history="1">
              <w:r w:rsidR="001A787A" w:rsidRPr="001A787A">
                <w:rPr>
                  <w:rStyle w:val="Lienhypertexte"/>
                  <w:vertAlign w:val="superscript"/>
                </w:rPr>
                <w:t>er</w:t>
              </w:r>
            </w:hyperlink>
            <w:hyperlink r:id="rId24" w:history="1">
              <w:r w:rsidR="001A787A" w:rsidRPr="001A787A">
                <w:rPr>
                  <w:rStyle w:val="Lienhypertexte"/>
                </w:rPr>
                <w:t xml:space="preserve"> août 2016</w:t>
              </w:r>
            </w:hyperlink>
          </w:p>
        </w:tc>
      </w:tr>
      <w:tr w:rsidR="00E20A5D" w:rsidRPr="001A787A" w14:paraId="206B77C3" w14:textId="77777777" w:rsidTr="001A787A">
        <w:trPr>
          <w:trHeight w:val="1025"/>
        </w:trPr>
        <w:tc>
          <w:tcPr>
            <w:tcW w:w="256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tcPr>
          <w:p w14:paraId="34C1AD3B" w14:textId="77777777" w:rsidR="00E20A5D" w:rsidRPr="001A787A" w:rsidRDefault="00E20A5D" w:rsidP="001A787A">
            <w:pPr>
              <w:rPr>
                <w:b/>
                <w:bCs/>
              </w:rPr>
            </w:pPr>
            <w:r>
              <w:rPr>
                <w:b/>
                <w:bCs/>
              </w:rPr>
              <w:t xml:space="preserve">TROD </w:t>
            </w:r>
            <w:r w:rsidRPr="005C0808">
              <w:rPr>
                <w:b/>
                <w:sz w:val="21"/>
                <w:szCs w:val="21"/>
              </w:rPr>
              <w:t xml:space="preserve">de recherche </w:t>
            </w:r>
            <w:r w:rsidRPr="005C0808">
              <w:rPr>
                <w:b/>
                <w:i/>
                <w:iCs/>
                <w:sz w:val="21"/>
                <w:szCs w:val="21"/>
              </w:rPr>
              <w:t xml:space="preserve">a minima </w:t>
            </w:r>
            <w:r w:rsidRPr="005C0808">
              <w:rPr>
                <w:b/>
                <w:sz w:val="21"/>
                <w:szCs w:val="21"/>
              </w:rPr>
              <w:t>de nitriturie et de leucocyturie</w:t>
            </w:r>
          </w:p>
        </w:tc>
        <w:tc>
          <w:tcPr>
            <w:tcW w:w="308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tcPr>
          <w:p w14:paraId="051F7718" w14:textId="77777777" w:rsidR="00E20A5D" w:rsidRDefault="00E20A5D" w:rsidP="00065526">
            <w:pPr>
              <w:spacing w:after="0"/>
            </w:pPr>
            <w:r>
              <w:rPr>
                <w:sz w:val="21"/>
                <w:szCs w:val="21"/>
              </w:rPr>
              <w:t>B</w:t>
            </w:r>
            <w:r w:rsidRPr="005C0808">
              <w:rPr>
                <w:sz w:val="21"/>
                <w:szCs w:val="21"/>
              </w:rPr>
              <w:t>ilan de symptôme(s) évocateur(s) d’une cystite aigüe non compliquée chez la femme</w:t>
            </w:r>
            <w:r w:rsidRPr="00333F61">
              <w:t>.</w:t>
            </w:r>
          </w:p>
          <w:p w14:paraId="23289236" w14:textId="77777777" w:rsidR="00E20A5D" w:rsidRPr="001A787A" w:rsidRDefault="00E20A5D" w:rsidP="001A787A"/>
        </w:tc>
        <w:tc>
          <w:tcPr>
            <w:tcW w:w="232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tcPr>
          <w:p w14:paraId="667DE7D3" w14:textId="77777777" w:rsidR="00E20A5D" w:rsidRPr="001A787A" w:rsidRDefault="00E20A5D" w:rsidP="001A787A"/>
        </w:tc>
        <w:tc>
          <w:tcPr>
            <w:tcW w:w="202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tcPr>
          <w:p w14:paraId="07336B10" w14:textId="3A0C928A" w:rsidR="00E20A5D" w:rsidRDefault="00C04FD9" w:rsidP="001A787A">
            <w:hyperlink r:id="rId25" w:history="1">
              <w:r w:rsidR="000A70D0">
                <w:rPr>
                  <w:rStyle w:val="Lienhypertexte"/>
                </w:rPr>
                <w:t>A</w:t>
              </w:r>
              <w:r w:rsidR="000A70D0" w:rsidRPr="005C0808">
                <w:rPr>
                  <w:rStyle w:val="Lienhypertexte"/>
                </w:rPr>
                <w:t>rrêté du 13 juillet 2023</w:t>
              </w:r>
            </w:hyperlink>
          </w:p>
          <w:p w14:paraId="5A9EFD62" w14:textId="77777777" w:rsidR="00AD5635" w:rsidRDefault="00AD5635" w:rsidP="001A787A">
            <w:r w:rsidRPr="00AD5635">
              <w:rPr>
                <w:color w:val="FF0000"/>
              </w:rPr>
              <w:t>Attention ! D’autres textes restent à paraitre pour la mise en œuvre de ce TROD</w:t>
            </w:r>
          </w:p>
        </w:tc>
      </w:tr>
      <w:tr w:rsidR="001A787A" w:rsidRPr="001A787A" w14:paraId="46C90FFD" w14:textId="77777777" w:rsidTr="001A787A">
        <w:trPr>
          <w:trHeight w:val="1283"/>
        </w:trPr>
        <w:tc>
          <w:tcPr>
            <w:tcW w:w="256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14:paraId="55DE418A" w14:textId="77777777" w:rsidR="007348B5" w:rsidRPr="001A787A" w:rsidRDefault="001A787A" w:rsidP="001A787A">
            <w:r w:rsidRPr="001A787A">
              <w:rPr>
                <w:b/>
                <w:bCs/>
              </w:rPr>
              <w:t xml:space="preserve">TROD </w:t>
            </w:r>
            <w:r w:rsidR="000E3662">
              <w:rPr>
                <w:b/>
                <w:bCs/>
              </w:rPr>
              <w:t xml:space="preserve">sur sang </w:t>
            </w:r>
            <w:r w:rsidRPr="001A787A">
              <w:rPr>
                <w:b/>
                <w:bCs/>
              </w:rPr>
              <w:t xml:space="preserve">capillaire </w:t>
            </w:r>
            <w:r w:rsidR="00E20A5D">
              <w:rPr>
                <w:b/>
                <w:bCs/>
              </w:rPr>
              <w:t xml:space="preserve">et TROD antigénique par prélèvement nasal </w:t>
            </w:r>
            <w:r w:rsidRPr="001A787A">
              <w:rPr>
                <w:b/>
                <w:bCs/>
              </w:rPr>
              <w:t>du Covid-19</w:t>
            </w:r>
          </w:p>
        </w:tc>
        <w:tc>
          <w:tcPr>
            <w:tcW w:w="308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14:paraId="4A8532D5" w14:textId="77777777" w:rsidR="001A787A" w:rsidRPr="001A787A" w:rsidRDefault="001A787A" w:rsidP="000E3662">
            <w:pPr>
              <w:spacing w:after="0"/>
            </w:pPr>
            <w:r w:rsidRPr="001A787A">
              <w:t>Orientation diagnostique en faveur de la présence d’anticorps dirigés contre</w:t>
            </w:r>
          </w:p>
          <w:p w14:paraId="72FBFE33" w14:textId="77777777" w:rsidR="007348B5" w:rsidRPr="001A787A" w:rsidRDefault="001A787A" w:rsidP="000E3662">
            <w:pPr>
              <w:spacing w:after="0"/>
            </w:pPr>
            <w:r w:rsidRPr="001A787A">
              <w:t>le SARS-CoV-2</w:t>
            </w:r>
          </w:p>
        </w:tc>
        <w:tc>
          <w:tcPr>
            <w:tcW w:w="232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14:paraId="4853EF26" w14:textId="77777777" w:rsidR="007348B5" w:rsidRPr="001A787A" w:rsidRDefault="001A787A" w:rsidP="00E20A5D">
            <w:r w:rsidRPr="001A787A">
              <w:t xml:space="preserve">Mesure exceptionnelle </w:t>
            </w:r>
            <w:r w:rsidR="00E20A5D">
              <w:t>et en période de circulation du virus</w:t>
            </w:r>
          </w:p>
        </w:tc>
        <w:tc>
          <w:tcPr>
            <w:tcW w:w="2020" w:type="dxa"/>
            <w:tcBorders>
              <w:top w:val="single" w:sz="6" w:space="0" w:color="4A7EBB"/>
              <w:left w:val="single" w:sz="6" w:space="0" w:color="4A7EBB"/>
              <w:bottom w:val="single" w:sz="6" w:space="0" w:color="4A7EBB"/>
              <w:right w:val="single" w:sz="6" w:space="0" w:color="4A7EBB"/>
            </w:tcBorders>
            <w:shd w:val="clear" w:color="auto" w:fill="auto"/>
            <w:tcMar>
              <w:top w:w="15" w:type="dxa"/>
              <w:left w:w="108" w:type="dxa"/>
              <w:bottom w:w="0" w:type="dxa"/>
              <w:right w:w="108" w:type="dxa"/>
            </w:tcMar>
            <w:vAlign w:val="center"/>
            <w:hideMark/>
          </w:tcPr>
          <w:p w14:paraId="570A7220" w14:textId="0F5E7F65" w:rsidR="007348B5" w:rsidRPr="001A787A" w:rsidRDefault="00C04FD9" w:rsidP="000A70D0">
            <w:hyperlink r:id="rId26" w:history="1">
              <w:r w:rsidR="000A70D0">
                <w:rPr>
                  <w:rStyle w:val="Lienhypertexte"/>
                </w:rPr>
                <w:t>A</w:t>
              </w:r>
              <w:r w:rsidR="000A70D0" w:rsidRPr="00897D0E">
                <w:rPr>
                  <w:rStyle w:val="Lienhypertexte"/>
                </w:rPr>
                <w:t>rrêté du 1er juin 2021 (art. 27 et 29)</w:t>
              </w:r>
            </w:hyperlink>
          </w:p>
        </w:tc>
      </w:tr>
    </w:tbl>
    <w:p w14:paraId="2A773900" w14:textId="77777777" w:rsidR="00333F61" w:rsidRDefault="00333F61" w:rsidP="00D057D2">
      <w:pPr>
        <w:spacing w:after="0"/>
      </w:pPr>
    </w:p>
    <w:p w14:paraId="3AD2718B" w14:textId="77777777" w:rsidR="00D057D2" w:rsidRDefault="00D057D2" w:rsidP="00D057D2">
      <w:pPr>
        <w:spacing w:after="0"/>
      </w:pPr>
    </w:p>
    <w:p w14:paraId="365AB258" w14:textId="77777777" w:rsidR="001A787A" w:rsidRPr="001A787A" w:rsidRDefault="00951DE6" w:rsidP="00951DE6">
      <w:pPr>
        <w:pStyle w:val="Paragraphedeliste"/>
        <w:numPr>
          <w:ilvl w:val="0"/>
          <w:numId w:val="6"/>
        </w:numPr>
        <w:spacing w:after="0"/>
      </w:pPr>
      <w:r w:rsidRPr="00951DE6">
        <w:rPr>
          <w:b/>
          <w:bCs/>
          <w:u w:val="single"/>
        </w:rPr>
        <w:t xml:space="preserve">3.1 </w:t>
      </w:r>
      <w:r w:rsidR="001A787A" w:rsidRPr="00951DE6">
        <w:rPr>
          <w:b/>
          <w:bCs/>
          <w:u w:val="single"/>
        </w:rPr>
        <w:t xml:space="preserve">TEST </w:t>
      </w:r>
      <w:r w:rsidR="000E3662" w:rsidRPr="00951DE6">
        <w:rPr>
          <w:b/>
          <w:bCs/>
          <w:u w:val="single"/>
        </w:rPr>
        <w:t xml:space="preserve">SUR SANG </w:t>
      </w:r>
      <w:r w:rsidR="001A787A" w:rsidRPr="00951DE6">
        <w:rPr>
          <w:b/>
          <w:bCs/>
          <w:u w:val="single"/>
        </w:rPr>
        <w:t>CAPILLAIRE D’ÉVALUATION DE LA GLYCÉMIE</w:t>
      </w:r>
      <w:r w:rsidR="001A787A" w:rsidRPr="00951DE6">
        <w:rPr>
          <w:b/>
          <w:bCs/>
        </w:rPr>
        <w:t> </w:t>
      </w:r>
    </w:p>
    <w:p w14:paraId="5078B36F" w14:textId="77777777" w:rsidR="00D057D2" w:rsidRDefault="00D057D2" w:rsidP="00770CA9">
      <w:pPr>
        <w:spacing w:after="0"/>
        <w:jc w:val="both"/>
      </w:pPr>
    </w:p>
    <w:p w14:paraId="41887E85" w14:textId="77777777" w:rsidR="001A787A" w:rsidRPr="001A787A" w:rsidRDefault="001A787A" w:rsidP="00770CA9">
      <w:pPr>
        <w:spacing w:after="0"/>
        <w:jc w:val="both"/>
      </w:pPr>
      <w:r w:rsidRPr="001A787A">
        <w:t>L’utilisation des tests capillaires d’évaluation de la glycémie est autorisée dans le cadre des campagnes de dépistage et de prévention du diabète de type 2 uniquement.</w:t>
      </w:r>
    </w:p>
    <w:p w14:paraId="2C6A7BF3" w14:textId="77777777" w:rsidR="001A787A" w:rsidRDefault="001A787A" w:rsidP="00770CA9">
      <w:pPr>
        <w:spacing w:after="0"/>
        <w:jc w:val="both"/>
      </w:pPr>
      <w:r w:rsidRPr="001A787A">
        <w:t>Cela permet d’orienter un patient présentant une hyperglycémie vers son médecin traitant qui confirmera ou infirmera l’existence d’un diabète de type 2.</w:t>
      </w:r>
    </w:p>
    <w:p w14:paraId="0C21E5A2" w14:textId="77777777" w:rsidR="00D057D2" w:rsidRPr="001A787A" w:rsidRDefault="00D057D2" w:rsidP="00770CA9">
      <w:pPr>
        <w:spacing w:after="0"/>
        <w:jc w:val="both"/>
      </w:pPr>
    </w:p>
    <w:p w14:paraId="0B732EDA" w14:textId="77777777" w:rsidR="001A787A" w:rsidRPr="001A787A" w:rsidRDefault="001A787A" w:rsidP="00770CA9">
      <w:pPr>
        <w:spacing w:after="0"/>
        <w:jc w:val="both"/>
      </w:pPr>
      <w:r w:rsidRPr="001A787A">
        <w:t xml:space="preserve">Ce test est destiné aux patients jugés à risque. Pour repérer les sujets à risque de développer un diabète de type 2, le pharmacien peut utiliser un </w:t>
      </w:r>
      <w:hyperlink r:id="rId27" w:history="1">
        <w:r w:rsidRPr="001A787A">
          <w:rPr>
            <w:rStyle w:val="Lienhypertexte"/>
          </w:rPr>
          <w:t xml:space="preserve">test en ligne </w:t>
        </w:r>
      </w:hyperlink>
      <w:r w:rsidRPr="001A787A">
        <w:t>ou le test de FINDRISK (Finnish Diabetes Risk Score) recommandé par la HAS qui est composé de 9 questions (sexe, âge, IMC, tour de taille, activité physique, alimentation, HTA, antécédent d’hyperglycémie et antécédents familiaux).</w:t>
      </w:r>
    </w:p>
    <w:p w14:paraId="5CD9211C" w14:textId="77777777" w:rsidR="001A787A" w:rsidRDefault="001A787A" w:rsidP="00770CA9">
      <w:pPr>
        <w:spacing w:after="0"/>
        <w:jc w:val="both"/>
      </w:pPr>
      <w:r w:rsidRPr="001A787A">
        <w:t xml:space="preserve">Si suite au test le patient est considéré à risque, le pharmacien lui recommandera les règles hygiéno-diététique à suivre et pourra lui proposer un test capillaire d’évaluation de la glycémie. </w:t>
      </w:r>
    </w:p>
    <w:p w14:paraId="10D806B1" w14:textId="77777777" w:rsidR="00D057D2" w:rsidRPr="001A787A" w:rsidRDefault="00D057D2" w:rsidP="00770CA9">
      <w:pPr>
        <w:spacing w:after="0"/>
        <w:jc w:val="both"/>
      </w:pPr>
    </w:p>
    <w:p w14:paraId="4A856DC5" w14:textId="3749EF34" w:rsidR="001A787A" w:rsidRPr="001A787A" w:rsidRDefault="00D057D2" w:rsidP="00770CA9">
      <w:pPr>
        <w:spacing w:after="0"/>
        <w:jc w:val="both"/>
      </w:pPr>
      <w:r>
        <w:sym w:font="Wingdings" w:char="F0D8"/>
      </w:r>
      <w:r w:rsidR="001A787A" w:rsidRPr="001A787A">
        <w:t xml:space="preserve"> </w:t>
      </w:r>
      <w:r w:rsidR="001A787A" w:rsidRPr="00D057D2">
        <w:rPr>
          <w:u w:val="single"/>
        </w:rPr>
        <w:t>En cas d’hyperglycémie observée à deux reprises</w:t>
      </w:r>
      <w:r w:rsidR="001A787A" w:rsidRPr="001A787A">
        <w:t xml:space="preserve">, </w:t>
      </w:r>
      <w:r w:rsidR="001A787A" w:rsidRPr="001A787A">
        <w:rPr>
          <w:b/>
          <w:bCs/>
        </w:rPr>
        <w:t xml:space="preserve">supérieure à 1,40 g/L </w:t>
      </w:r>
      <w:r w:rsidR="0038070E">
        <w:rPr>
          <w:b/>
          <w:bCs/>
        </w:rPr>
        <w:t>(non à jeun)</w:t>
      </w:r>
      <w:r w:rsidR="001A787A" w:rsidRPr="001A787A">
        <w:rPr>
          <w:b/>
          <w:bCs/>
        </w:rPr>
        <w:t xml:space="preserve"> ou supérieure à 1,10 g/L </w:t>
      </w:r>
      <w:r w:rsidR="0038070E">
        <w:rPr>
          <w:b/>
          <w:bCs/>
        </w:rPr>
        <w:t>(</w:t>
      </w:r>
      <w:r w:rsidR="001A787A" w:rsidRPr="001A787A">
        <w:rPr>
          <w:b/>
          <w:bCs/>
        </w:rPr>
        <w:t>à jeun</w:t>
      </w:r>
      <w:r w:rsidR="0038070E">
        <w:rPr>
          <w:b/>
          <w:bCs/>
        </w:rPr>
        <w:t>)</w:t>
      </w:r>
      <w:r w:rsidR="001A787A" w:rsidRPr="001A787A">
        <w:t xml:space="preserve">, le pharmacien réorientera le patient vers son médecin traitant pour la suite de sa prise en charge. </w:t>
      </w:r>
      <w:r w:rsidR="001A787A" w:rsidRPr="001A787A">
        <w:rPr>
          <w:i/>
          <w:iCs/>
        </w:rPr>
        <w:t>(Mallaurie Laporte. Les tests rapides d’orientation diagnostique et autotests à l’officine. Sciences du Vivant [q-bio]. 2019.  dumas-02417455)</w:t>
      </w:r>
    </w:p>
    <w:p w14:paraId="7BD1049E" w14:textId="77777777" w:rsidR="001A787A" w:rsidRPr="001A787A" w:rsidRDefault="001A787A" w:rsidP="00770CA9">
      <w:pPr>
        <w:spacing w:after="0"/>
        <w:jc w:val="both"/>
      </w:pPr>
      <w:r w:rsidRPr="001A787A">
        <w:t xml:space="preserve">Lors des campagnes de dépistage et de prévention du diabète de type 2, le </w:t>
      </w:r>
      <w:hyperlink r:id="rId28" w:history="1">
        <w:r w:rsidRPr="001A787A">
          <w:rPr>
            <w:rStyle w:val="Lienhypertexte"/>
          </w:rPr>
          <w:t>Cespharm</w:t>
        </w:r>
      </w:hyperlink>
      <w:r w:rsidRPr="001A787A">
        <w:t xml:space="preserve"> met à votre disposition l’affiche de la campagne ainsi qu’un dépliant destiné au patient comportant le questionnaire permettant l’évaluation du risque de développer un diabète.</w:t>
      </w:r>
    </w:p>
    <w:p w14:paraId="1CAB0A60" w14:textId="77777777" w:rsidR="001A787A" w:rsidRDefault="001A787A" w:rsidP="00770CA9">
      <w:pPr>
        <w:spacing w:after="0"/>
        <w:jc w:val="both"/>
      </w:pPr>
    </w:p>
    <w:p w14:paraId="68B9CAC8" w14:textId="77777777" w:rsidR="00276D1B" w:rsidRDefault="00276D1B" w:rsidP="00770CA9">
      <w:pPr>
        <w:spacing w:after="0"/>
        <w:jc w:val="both"/>
      </w:pPr>
    </w:p>
    <w:p w14:paraId="3AA5468E" w14:textId="77777777" w:rsidR="00596EAA" w:rsidRDefault="00596EAA" w:rsidP="00770CA9">
      <w:pPr>
        <w:spacing w:after="0"/>
        <w:jc w:val="both"/>
      </w:pPr>
    </w:p>
    <w:p w14:paraId="71907EA3" w14:textId="77777777" w:rsidR="00596EAA" w:rsidRDefault="00596EAA" w:rsidP="00770CA9">
      <w:pPr>
        <w:spacing w:after="0"/>
        <w:jc w:val="both"/>
      </w:pPr>
    </w:p>
    <w:p w14:paraId="4F57373D" w14:textId="77777777" w:rsidR="000E3662" w:rsidRDefault="000E5949" w:rsidP="00951DE6">
      <w:pPr>
        <w:pStyle w:val="Paragraphedeliste"/>
        <w:numPr>
          <w:ilvl w:val="0"/>
          <w:numId w:val="6"/>
        </w:numPr>
        <w:spacing w:after="0"/>
        <w:rPr>
          <w:b/>
          <w:bCs/>
          <w:u w:val="single"/>
        </w:rPr>
      </w:pPr>
      <w:r w:rsidRPr="00951DE6">
        <w:rPr>
          <w:b/>
          <w:bCs/>
          <w:u w:val="single"/>
        </w:rPr>
        <w:t> </w:t>
      </w:r>
      <w:r w:rsidR="00951DE6">
        <w:rPr>
          <w:b/>
          <w:bCs/>
          <w:u w:val="single"/>
        </w:rPr>
        <w:t>3.2</w:t>
      </w:r>
      <w:r w:rsidRPr="000E5949">
        <w:rPr>
          <w:b/>
          <w:bCs/>
          <w:u w:val="single"/>
        </w:rPr>
        <w:t xml:space="preserve">. </w:t>
      </w:r>
      <w:r w:rsidR="000E3662" w:rsidRPr="000E3662">
        <w:rPr>
          <w:b/>
          <w:bCs/>
          <w:u w:val="single"/>
        </w:rPr>
        <w:t xml:space="preserve">TROD OROPHARYNGE DES ANGINES À STREPTOCOQUE BETA-HEMOLYTIQUE DU GROUPE A </w:t>
      </w:r>
    </w:p>
    <w:p w14:paraId="5FEEFB18" w14:textId="77777777" w:rsidR="00951DE6" w:rsidRPr="000E3662" w:rsidRDefault="00951DE6" w:rsidP="00951DE6">
      <w:pPr>
        <w:pStyle w:val="Paragraphedeliste"/>
        <w:spacing w:after="0"/>
        <w:ind w:left="765"/>
        <w:rPr>
          <w:b/>
          <w:bCs/>
          <w:u w:val="single"/>
        </w:rPr>
      </w:pPr>
    </w:p>
    <w:p w14:paraId="6E23C30C" w14:textId="4F5DEB2D" w:rsidR="000E3662" w:rsidRPr="000E3662" w:rsidRDefault="000E3662" w:rsidP="00770CA9">
      <w:pPr>
        <w:spacing w:after="0"/>
        <w:jc w:val="both"/>
        <w:rPr>
          <w:bCs/>
        </w:rPr>
      </w:pPr>
      <w:r w:rsidRPr="000E3662">
        <w:rPr>
          <w:bCs/>
        </w:rPr>
        <w:t xml:space="preserve">L’utilisation des TROD angine </w:t>
      </w:r>
      <w:r w:rsidR="00F5455D">
        <w:rPr>
          <w:bCs/>
        </w:rPr>
        <w:t>à</w:t>
      </w:r>
      <w:r w:rsidRPr="000E3662">
        <w:rPr>
          <w:bCs/>
        </w:rPr>
        <w:t xml:space="preserve"> </w:t>
      </w:r>
      <w:r w:rsidR="00F5455D" w:rsidRPr="000E3662">
        <w:rPr>
          <w:bCs/>
        </w:rPr>
        <w:t xml:space="preserve">streptocoque beta-hemolytique du groupe </w:t>
      </w:r>
      <w:r w:rsidR="00F5455D">
        <w:rPr>
          <w:bCs/>
        </w:rPr>
        <w:t xml:space="preserve">A </w:t>
      </w:r>
      <w:r w:rsidRPr="000E3662">
        <w:rPr>
          <w:bCs/>
        </w:rPr>
        <w:t>s’inscrit dans le plan de lutte contre l’antibiorésistance</w:t>
      </w:r>
      <w:r w:rsidR="0038070E">
        <w:rPr>
          <w:bCs/>
        </w:rPr>
        <w:t>, enjeu de santé publique majeur</w:t>
      </w:r>
      <w:r w:rsidRPr="000E3662">
        <w:rPr>
          <w:bCs/>
        </w:rPr>
        <w:t>.</w:t>
      </w:r>
    </w:p>
    <w:p w14:paraId="6CFEA2CF" w14:textId="77777777" w:rsidR="000E3662" w:rsidRPr="000E3662" w:rsidRDefault="000E3662" w:rsidP="00770CA9">
      <w:pPr>
        <w:spacing w:after="0"/>
        <w:jc w:val="both"/>
        <w:rPr>
          <w:bCs/>
        </w:rPr>
      </w:pPr>
      <w:r w:rsidRPr="000E3662">
        <w:rPr>
          <w:bCs/>
        </w:rPr>
        <w:t>Ils permettent de détecter l’origine virale ou bactérienne d’une angine et ainsi de diminuer le recours à une antibiothérapie inutile (plus de 80% des angines étant d’origines virales).</w:t>
      </w:r>
    </w:p>
    <w:p w14:paraId="7FB8DE59" w14:textId="77777777" w:rsidR="00D057D2" w:rsidRDefault="00D057D2" w:rsidP="00770CA9">
      <w:pPr>
        <w:spacing w:after="0"/>
        <w:jc w:val="both"/>
        <w:rPr>
          <w:bCs/>
        </w:rPr>
      </w:pPr>
    </w:p>
    <w:p w14:paraId="723705F9" w14:textId="77777777" w:rsidR="000E3662" w:rsidRDefault="00027E29" w:rsidP="00770CA9">
      <w:pPr>
        <w:spacing w:after="0"/>
        <w:jc w:val="both"/>
        <w:rPr>
          <w:bCs/>
        </w:rPr>
      </w:pPr>
      <w:r>
        <w:rPr>
          <w:bCs/>
        </w:rPr>
        <w:t>La</w:t>
      </w:r>
      <w:r w:rsidR="000E3662" w:rsidRPr="000E3662">
        <w:rPr>
          <w:bCs/>
        </w:rPr>
        <w:t xml:space="preserve"> réalisation des TROD angine en officine est prise en charge par l’Assurance maladie.</w:t>
      </w:r>
    </w:p>
    <w:p w14:paraId="43ED1539" w14:textId="77777777" w:rsidR="00027E29" w:rsidRPr="000E3662" w:rsidRDefault="00027E29" w:rsidP="00770CA9">
      <w:pPr>
        <w:spacing w:after="0"/>
        <w:jc w:val="both"/>
        <w:rPr>
          <w:bCs/>
        </w:rPr>
      </w:pPr>
    </w:p>
    <w:p w14:paraId="7953F79B" w14:textId="77777777" w:rsidR="000E3662" w:rsidRDefault="00806934" w:rsidP="00027E29">
      <w:pPr>
        <w:spacing w:after="0"/>
        <w:jc w:val="both"/>
        <w:rPr>
          <w:bCs/>
        </w:rPr>
      </w:pPr>
      <w:r>
        <w:rPr>
          <w:bCs/>
        </w:rPr>
        <w:sym w:font="Wingdings" w:char="F0D8"/>
      </w:r>
      <w:r>
        <w:rPr>
          <w:bCs/>
        </w:rPr>
        <w:t xml:space="preserve"> </w:t>
      </w:r>
      <w:r w:rsidR="000E3662" w:rsidRPr="000E3662">
        <w:rPr>
          <w:bCs/>
        </w:rPr>
        <w:t xml:space="preserve">Les TROD angine ne sont indiqués que chez les patients </w:t>
      </w:r>
      <w:r w:rsidR="00027E29">
        <w:rPr>
          <w:bCs/>
        </w:rPr>
        <w:t>éligibles. La réglementation a prévu les critères de non-éligibilité :</w:t>
      </w:r>
    </w:p>
    <w:p w14:paraId="254EF596" w14:textId="61140678" w:rsidR="00027E29" w:rsidRDefault="00027E29" w:rsidP="00027E29">
      <w:pPr>
        <w:spacing w:after="0"/>
        <w:jc w:val="both"/>
      </w:pPr>
      <w:r>
        <w:t>– Enfant de moins de 10 ans</w:t>
      </w:r>
      <w:r w:rsidR="0038070E">
        <w:t> ;</w:t>
      </w:r>
    </w:p>
    <w:p w14:paraId="61305421" w14:textId="584923BA" w:rsidR="00027E29" w:rsidRDefault="00027E29" w:rsidP="00027E29">
      <w:pPr>
        <w:spacing w:after="0"/>
        <w:jc w:val="both"/>
      </w:pPr>
      <w:r>
        <w:t>– Tableau évocateur de rhino-pharyngite (rhume)</w:t>
      </w:r>
      <w:r w:rsidR="0038070E">
        <w:t> ;</w:t>
      </w:r>
    </w:p>
    <w:p w14:paraId="1618719F" w14:textId="08EC7343" w:rsidR="00027E29" w:rsidRDefault="00027E29" w:rsidP="00027E29">
      <w:pPr>
        <w:spacing w:after="0"/>
        <w:jc w:val="both"/>
      </w:pPr>
      <w:r>
        <w:t>– Patient à risque d'immunodépression (patient vivant avec le VIH, patient sous traitement immunosuppresseur, dont corticothérapie au long cours et cancer sous chimiothérapie)</w:t>
      </w:r>
      <w:r w:rsidR="0038070E">
        <w:t> ;</w:t>
      </w:r>
    </w:p>
    <w:p w14:paraId="42CBAF5D" w14:textId="77777777" w:rsidR="00027E29" w:rsidRDefault="00027E29" w:rsidP="00027E29">
      <w:pPr>
        <w:spacing w:after="0"/>
        <w:jc w:val="both"/>
      </w:pPr>
      <w:r>
        <w:t>– Patiente enceinte fébrile (température &gt; 38 °C)</w:t>
      </w:r>
      <w:r w:rsidR="0038070E">
        <w:t> ;</w:t>
      </w:r>
      <w:r>
        <w:t xml:space="preserve"> </w:t>
      </w:r>
    </w:p>
    <w:p w14:paraId="1B134B05" w14:textId="720E78E6" w:rsidR="00027E29" w:rsidRDefault="00027E29" w:rsidP="00027E29">
      <w:pPr>
        <w:spacing w:after="0"/>
        <w:jc w:val="both"/>
      </w:pPr>
      <w:r>
        <w:t>– Patient &gt; 70 ans avec température &gt; 38 °C</w:t>
      </w:r>
      <w:r w:rsidR="0038070E">
        <w:t> ;</w:t>
      </w:r>
    </w:p>
    <w:p w14:paraId="4E31B630" w14:textId="30410C29" w:rsidR="00027E29" w:rsidRDefault="00027E29" w:rsidP="00027E29">
      <w:pPr>
        <w:spacing w:after="0"/>
        <w:jc w:val="both"/>
      </w:pPr>
      <w:r>
        <w:t>– Episode similaire de mal de gorge traité par antibiotique dans le mois précédent, sur la base du déclaratif patient</w:t>
      </w:r>
      <w:r w:rsidR="0038070E">
        <w:t> ;</w:t>
      </w:r>
    </w:p>
    <w:p w14:paraId="64273231" w14:textId="4A7C5D6E" w:rsidR="00027E29" w:rsidRDefault="00027E29" w:rsidP="00027E29">
      <w:pPr>
        <w:spacing w:after="0"/>
        <w:jc w:val="both"/>
      </w:pPr>
      <w:r>
        <w:t>– Altération de l’état général avec asthénie importante, anorexie</w:t>
      </w:r>
      <w:r w:rsidR="0038070E">
        <w:t> ;</w:t>
      </w:r>
    </w:p>
    <w:p w14:paraId="4EBD6B13" w14:textId="20192B51" w:rsidR="00027E29" w:rsidRDefault="00027E29" w:rsidP="00027E29">
      <w:pPr>
        <w:spacing w:after="0"/>
        <w:jc w:val="both"/>
      </w:pPr>
      <w:r>
        <w:t>– Fièvre élevée (température &gt; 39 °C) ou fièvre (température &gt; 38°) d’une durée &gt; 3 jours</w:t>
      </w:r>
      <w:r w:rsidR="0038070E">
        <w:t> ;</w:t>
      </w:r>
    </w:p>
    <w:p w14:paraId="53C1999C" w14:textId="009F7A8D" w:rsidR="00027E29" w:rsidRDefault="00027E29" w:rsidP="00027E29">
      <w:pPr>
        <w:spacing w:after="0"/>
        <w:jc w:val="both"/>
      </w:pPr>
      <w:r>
        <w:t>– Difficulté pour respirer ou parler</w:t>
      </w:r>
      <w:r w:rsidR="0038070E">
        <w:t> ;</w:t>
      </w:r>
    </w:p>
    <w:p w14:paraId="452ECA1E" w14:textId="012D2893" w:rsidR="00027E29" w:rsidRDefault="00027E29" w:rsidP="00027E29">
      <w:pPr>
        <w:spacing w:after="0"/>
        <w:jc w:val="both"/>
      </w:pPr>
      <w:r>
        <w:t>– Douleur limitant les mouvements de la tête et du cou</w:t>
      </w:r>
      <w:r w:rsidR="0038070E">
        <w:t> ;</w:t>
      </w:r>
    </w:p>
    <w:p w14:paraId="2F0CAF93" w14:textId="3C7A4F78" w:rsidR="00027E29" w:rsidRDefault="00027E29" w:rsidP="00027E29">
      <w:pPr>
        <w:spacing w:after="0"/>
        <w:jc w:val="both"/>
      </w:pPr>
      <w:r>
        <w:t>– Douleur strictement ou principalement unilatérale</w:t>
      </w:r>
      <w:r w:rsidR="0038070E">
        <w:t> ;</w:t>
      </w:r>
    </w:p>
    <w:p w14:paraId="14B8699B" w14:textId="77777777" w:rsidR="00027E29" w:rsidRDefault="00027E29" w:rsidP="00027E29">
      <w:pPr>
        <w:spacing w:after="0"/>
        <w:jc w:val="both"/>
      </w:pPr>
      <w:r>
        <w:t>– Limitation d'ouverture buccale</w:t>
      </w:r>
      <w:r w:rsidR="0038070E">
        <w:t> ;</w:t>
      </w:r>
      <w:r>
        <w:t xml:space="preserve"> </w:t>
      </w:r>
    </w:p>
    <w:p w14:paraId="01B81290" w14:textId="77777777" w:rsidR="00027E29" w:rsidRDefault="00027E29" w:rsidP="00027E29">
      <w:pPr>
        <w:spacing w:after="0"/>
        <w:jc w:val="both"/>
        <w:rPr>
          <w:bCs/>
        </w:rPr>
      </w:pPr>
      <w:r>
        <w:t>– Peau rouge ou tuméfiée au niveau du cou, du thorax ou du visage</w:t>
      </w:r>
      <w:r w:rsidR="0038070E">
        <w:t>.</w:t>
      </w:r>
    </w:p>
    <w:p w14:paraId="0DACDB15" w14:textId="77777777" w:rsidR="00D057D2" w:rsidRDefault="00D057D2" w:rsidP="00770CA9">
      <w:pPr>
        <w:spacing w:after="0"/>
        <w:jc w:val="both"/>
        <w:rPr>
          <w:bCs/>
        </w:rPr>
      </w:pPr>
    </w:p>
    <w:p w14:paraId="3B5D7405" w14:textId="77777777" w:rsidR="00806934" w:rsidRDefault="00806934" w:rsidP="00770CA9">
      <w:pPr>
        <w:spacing w:after="0"/>
        <w:jc w:val="both"/>
      </w:pPr>
      <w:r>
        <w:rPr>
          <w:bCs/>
        </w:rPr>
        <w:t>L’</w:t>
      </w:r>
      <w:hyperlink r:id="rId29" w:history="1">
        <w:r w:rsidRPr="00780A76">
          <w:rPr>
            <w:rStyle w:val="Lienhypertexte"/>
          </w:rPr>
          <w:t>arrêté du 31 octobre 2023</w:t>
        </w:r>
      </w:hyperlink>
      <w:r>
        <w:t xml:space="preserve"> présente un logigramme (cf. page suivante) de décision incluant l’établissement du score de Mac Issac (cf. tableau suivant)</w:t>
      </w:r>
    </w:p>
    <w:p w14:paraId="0B38C7ED" w14:textId="77777777" w:rsidR="00806934" w:rsidRDefault="00806934" w:rsidP="00770CA9">
      <w:pPr>
        <w:spacing w:after="0"/>
        <w:jc w:val="both"/>
      </w:pPr>
      <w:r w:rsidRPr="000E3662">
        <w:rPr>
          <w:bCs/>
          <w:noProof/>
          <w:lang w:eastAsia="fr-FR"/>
        </w:rPr>
        <w:drawing>
          <wp:inline distT="0" distB="0" distL="0" distR="0" wp14:anchorId="604CEED3" wp14:editId="02730CB1">
            <wp:extent cx="4030238" cy="1883410"/>
            <wp:effectExtent l="0" t="0" r="0" b="254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30"/>
                    <a:stretch>
                      <a:fillRect/>
                    </a:stretch>
                  </pic:blipFill>
                  <pic:spPr>
                    <a:xfrm>
                      <a:off x="0" y="0"/>
                      <a:ext cx="4050019" cy="1892654"/>
                    </a:xfrm>
                    <a:prstGeom prst="rect">
                      <a:avLst/>
                    </a:prstGeom>
                  </pic:spPr>
                </pic:pic>
              </a:graphicData>
            </a:graphic>
          </wp:inline>
        </w:drawing>
      </w:r>
    </w:p>
    <w:p w14:paraId="1C5A75FD" w14:textId="77777777" w:rsidR="00806934" w:rsidRDefault="00806934" w:rsidP="00770CA9">
      <w:pPr>
        <w:spacing w:after="0"/>
        <w:jc w:val="both"/>
      </w:pPr>
    </w:p>
    <w:p w14:paraId="556D28CD" w14:textId="77777777" w:rsidR="00806934" w:rsidRDefault="00806934" w:rsidP="00770CA9">
      <w:pPr>
        <w:spacing w:after="0"/>
        <w:jc w:val="both"/>
      </w:pPr>
      <w:r w:rsidRPr="00806934">
        <w:rPr>
          <w:noProof/>
          <w:lang w:eastAsia="fr-FR"/>
        </w:rPr>
        <w:lastRenderedPageBreak/>
        <w:drawing>
          <wp:inline distT="0" distB="0" distL="0" distR="0" wp14:anchorId="12BA9554" wp14:editId="1AFF85BF">
            <wp:extent cx="5760720" cy="6398260"/>
            <wp:effectExtent l="0" t="0" r="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60720" cy="6398260"/>
                    </a:xfrm>
                    <a:prstGeom prst="rect">
                      <a:avLst/>
                    </a:prstGeom>
                  </pic:spPr>
                </pic:pic>
              </a:graphicData>
            </a:graphic>
          </wp:inline>
        </w:drawing>
      </w:r>
    </w:p>
    <w:p w14:paraId="3B14B7B8" w14:textId="77777777" w:rsidR="00806934" w:rsidRDefault="00806934" w:rsidP="00770CA9">
      <w:pPr>
        <w:spacing w:after="0"/>
        <w:jc w:val="both"/>
        <w:rPr>
          <w:bCs/>
        </w:rPr>
      </w:pPr>
    </w:p>
    <w:p w14:paraId="24D8E2E4" w14:textId="77777777" w:rsidR="00027E29" w:rsidRDefault="00027E29" w:rsidP="00770CA9">
      <w:pPr>
        <w:spacing w:after="0"/>
        <w:jc w:val="both"/>
        <w:rPr>
          <w:bCs/>
        </w:rPr>
      </w:pPr>
      <w:r>
        <w:rPr>
          <w:bCs/>
        </w:rPr>
        <w:t xml:space="preserve">La réalisation d’un TROD angine peut également être </w:t>
      </w:r>
      <w:r w:rsidR="00536411">
        <w:rPr>
          <w:bCs/>
        </w:rPr>
        <w:t>effectuée</w:t>
      </w:r>
      <w:r>
        <w:rPr>
          <w:bCs/>
        </w:rPr>
        <w:t xml:space="preserve"> dans le cadre d’une ordonnance de dispensation conditionnelle présentant </w:t>
      </w:r>
      <w:r w:rsidR="00806934">
        <w:rPr>
          <w:bCs/>
        </w:rPr>
        <w:t>la mention « si TROD angine positif » en regard de l’antibiotique et datant au plus de 7 jours.</w:t>
      </w:r>
    </w:p>
    <w:p w14:paraId="2F84FE86" w14:textId="77777777" w:rsidR="00806934" w:rsidRDefault="00806934" w:rsidP="00770CA9">
      <w:pPr>
        <w:spacing w:after="0"/>
        <w:jc w:val="both"/>
        <w:rPr>
          <w:bCs/>
        </w:rPr>
      </w:pPr>
    </w:p>
    <w:p w14:paraId="1C252F47" w14:textId="77777777" w:rsidR="00806934" w:rsidRDefault="00806934" w:rsidP="00770CA9">
      <w:pPr>
        <w:spacing w:after="0"/>
        <w:jc w:val="both"/>
        <w:rPr>
          <w:bCs/>
        </w:rPr>
      </w:pPr>
      <w:r>
        <w:rPr>
          <w:bCs/>
        </w:rPr>
        <w:t>Dans ce cas, le</w:t>
      </w:r>
      <w:r w:rsidR="00536411">
        <w:rPr>
          <w:bCs/>
        </w:rPr>
        <w:t>s critères d’éligibilité changent et le</w:t>
      </w:r>
      <w:r>
        <w:rPr>
          <w:bCs/>
        </w:rPr>
        <w:t xml:space="preserve"> patient peut être âgé d’au moins 3 ans.</w:t>
      </w:r>
    </w:p>
    <w:p w14:paraId="59936D0A" w14:textId="77777777" w:rsidR="00806934" w:rsidRDefault="00536411" w:rsidP="00770CA9">
      <w:pPr>
        <w:spacing w:after="0"/>
        <w:jc w:val="both"/>
        <w:rPr>
          <w:bCs/>
        </w:rPr>
      </w:pPr>
      <w:r>
        <w:rPr>
          <w:bCs/>
        </w:rPr>
        <w:t>(Cf. logigramme ci-dessous)</w:t>
      </w:r>
    </w:p>
    <w:p w14:paraId="07CB05F5" w14:textId="77777777" w:rsidR="00806934" w:rsidRDefault="00806934" w:rsidP="00770CA9">
      <w:pPr>
        <w:spacing w:after="0"/>
        <w:jc w:val="both"/>
        <w:rPr>
          <w:bCs/>
        </w:rPr>
      </w:pPr>
    </w:p>
    <w:p w14:paraId="12B03C02" w14:textId="77777777" w:rsidR="00806934" w:rsidRDefault="00806934" w:rsidP="00770CA9">
      <w:pPr>
        <w:spacing w:after="0"/>
        <w:jc w:val="both"/>
        <w:rPr>
          <w:bCs/>
        </w:rPr>
      </w:pPr>
    </w:p>
    <w:p w14:paraId="0DFACE74" w14:textId="77777777" w:rsidR="00806934" w:rsidRDefault="00536411" w:rsidP="00770CA9">
      <w:pPr>
        <w:spacing w:after="0"/>
        <w:jc w:val="both"/>
        <w:rPr>
          <w:bCs/>
        </w:rPr>
      </w:pPr>
      <w:r w:rsidRPr="00536411">
        <w:rPr>
          <w:bCs/>
          <w:noProof/>
          <w:lang w:eastAsia="fr-FR"/>
        </w:rPr>
        <w:lastRenderedPageBreak/>
        <w:drawing>
          <wp:inline distT="0" distB="0" distL="0" distR="0" wp14:anchorId="57BAACC7" wp14:editId="2F833792">
            <wp:extent cx="5760720" cy="712597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60720" cy="7125970"/>
                    </a:xfrm>
                    <a:prstGeom prst="rect">
                      <a:avLst/>
                    </a:prstGeom>
                  </pic:spPr>
                </pic:pic>
              </a:graphicData>
            </a:graphic>
          </wp:inline>
        </w:drawing>
      </w:r>
    </w:p>
    <w:p w14:paraId="69CEF4AE" w14:textId="77777777" w:rsidR="00536411" w:rsidRDefault="00536411" w:rsidP="00770CA9">
      <w:pPr>
        <w:spacing w:after="0"/>
        <w:jc w:val="both"/>
        <w:rPr>
          <w:bCs/>
        </w:rPr>
      </w:pPr>
    </w:p>
    <w:p w14:paraId="438DAE6C" w14:textId="77777777" w:rsidR="00536411" w:rsidRDefault="00536411" w:rsidP="00770CA9">
      <w:pPr>
        <w:spacing w:after="0"/>
        <w:jc w:val="both"/>
        <w:rPr>
          <w:bCs/>
        </w:rPr>
      </w:pPr>
    </w:p>
    <w:p w14:paraId="2D693EB3" w14:textId="77777777" w:rsidR="00806934" w:rsidRDefault="00806934" w:rsidP="00770CA9">
      <w:pPr>
        <w:spacing w:after="0"/>
        <w:jc w:val="both"/>
        <w:rPr>
          <w:bCs/>
        </w:rPr>
      </w:pPr>
    </w:p>
    <w:p w14:paraId="39972E39" w14:textId="77777777" w:rsidR="000E3662" w:rsidRPr="000E3662" w:rsidRDefault="000E3662" w:rsidP="00276D1B">
      <w:pPr>
        <w:spacing w:after="0"/>
        <w:jc w:val="both"/>
      </w:pPr>
      <w:r w:rsidRPr="000E3662">
        <w:t xml:space="preserve">Un </w:t>
      </w:r>
      <w:hyperlink r:id="rId33" w:history="1">
        <w:r w:rsidR="00536411" w:rsidRPr="00536411">
          <w:rPr>
            <w:rStyle w:val="Lienhypertexte"/>
          </w:rPr>
          <w:t>état des lieux</w:t>
        </w:r>
      </w:hyperlink>
      <w:r w:rsidR="00536411">
        <w:t xml:space="preserve"> </w:t>
      </w:r>
      <w:r w:rsidRPr="000E3662">
        <w:t>évaluant les TROD angine conformes à la règlementation en vigueur et disponibles sur le marché français a été publié par l’ANSM.</w:t>
      </w:r>
    </w:p>
    <w:p w14:paraId="77D50856" w14:textId="77777777" w:rsidR="000E3662" w:rsidRDefault="000E3662" w:rsidP="00276D1B">
      <w:pPr>
        <w:spacing w:after="0"/>
        <w:jc w:val="both"/>
      </w:pPr>
    </w:p>
    <w:p w14:paraId="42ADBDF5" w14:textId="77777777" w:rsidR="00276D1B" w:rsidRDefault="00276D1B" w:rsidP="00276D1B">
      <w:pPr>
        <w:spacing w:after="0"/>
        <w:jc w:val="both"/>
      </w:pPr>
    </w:p>
    <w:p w14:paraId="1E5D3D71" w14:textId="77777777" w:rsidR="00536411" w:rsidRDefault="00536411" w:rsidP="00276D1B">
      <w:pPr>
        <w:spacing w:after="0"/>
        <w:jc w:val="both"/>
      </w:pPr>
    </w:p>
    <w:p w14:paraId="7A0ADEEE" w14:textId="77777777" w:rsidR="000E3662" w:rsidRDefault="00951DE6" w:rsidP="00951DE6">
      <w:pPr>
        <w:pStyle w:val="Paragraphedeliste"/>
        <w:numPr>
          <w:ilvl w:val="0"/>
          <w:numId w:val="6"/>
        </w:numPr>
        <w:spacing w:after="0"/>
        <w:rPr>
          <w:b/>
          <w:bCs/>
          <w:u w:val="single"/>
        </w:rPr>
      </w:pPr>
      <w:r>
        <w:rPr>
          <w:b/>
          <w:bCs/>
          <w:u w:val="single"/>
        </w:rPr>
        <w:lastRenderedPageBreak/>
        <w:t>3.3</w:t>
      </w:r>
      <w:r w:rsidR="000E3662" w:rsidRPr="000E3662">
        <w:rPr>
          <w:b/>
          <w:bCs/>
          <w:u w:val="single"/>
        </w:rPr>
        <w:t>. TROD OROHARYNGE DE LA GRIPPE</w:t>
      </w:r>
    </w:p>
    <w:p w14:paraId="0E174A39" w14:textId="77777777" w:rsidR="0065009D" w:rsidRDefault="0065009D" w:rsidP="0065009D">
      <w:pPr>
        <w:spacing w:after="0"/>
        <w:rPr>
          <w:b/>
          <w:bCs/>
          <w:u w:val="single"/>
        </w:rPr>
      </w:pPr>
    </w:p>
    <w:p w14:paraId="2E8726A1" w14:textId="77777777" w:rsidR="0065009D" w:rsidRDefault="0065009D" w:rsidP="0065009D">
      <w:pPr>
        <w:spacing w:after="0"/>
        <w:jc w:val="both"/>
      </w:pPr>
      <w:r w:rsidRPr="000E3662">
        <w:t>Les TROD grippe ont pour objectif de confirmer l’étiologie grippale afin de mettre en œuvre rapidement le traitement antiviral curatif et/ou prophylactique et ainsi réduire les risques de survenue de formes compliquées de grippe et d’interrompre la transmission.</w:t>
      </w:r>
    </w:p>
    <w:p w14:paraId="11E1B1A1" w14:textId="77777777" w:rsidR="0065009D" w:rsidRPr="000E3662" w:rsidRDefault="0065009D" w:rsidP="0065009D">
      <w:pPr>
        <w:spacing w:after="0"/>
        <w:jc w:val="both"/>
      </w:pPr>
      <w:r w:rsidRPr="000E3662">
        <w:rPr>
          <w:noProof/>
          <w:lang w:eastAsia="fr-FR"/>
        </w:rPr>
        <mc:AlternateContent>
          <mc:Choice Requires="wps">
            <w:drawing>
              <wp:anchor distT="0" distB="0" distL="114300" distR="114300" simplePos="0" relativeHeight="251672576" behindDoc="0" locked="0" layoutInCell="1" allowOverlap="1" wp14:anchorId="57F79762" wp14:editId="50775F0C">
                <wp:simplePos x="0" y="0"/>
                <wp:positionH relativeFrom="column">
                  <wp:posOffset>-90170</wp:posOffset>
                </wp:positionH>
                <wp:positionV relativeFrom="paragraph">
                  <wp:posOffset>236220</wp:posOffset>
                </wp:positionV>
                <wp:extent cx="6296025" cy="723569"/>
                <wp:effectExtent l="57150" t="19050" r="85725" b="95885"/>
                <wp:wrapNone/>
                <wp:docPr id="3" name="Rectangle à coins arrondis 7"/>
                <wp:cNvGraphicFramePr/>
                <a:graphic xmlns:a="http://schemas.openxmlformats.org/drawingml/2006/main">
                  <a:graphicData uri="http://schemas.microsoft.com/office/word/2010/wordprocessingShape">
                    <wps:wsp>
                      <wps:cNvSpPr/>
                      <wps:spPr>
                        <a:xfrm>
                          <a:off x="0" y="0"/>
                          <a:ext cx="6296025" cy="723569"/>
                        </a:xfrm>
                        <a:prstGeom prst="roundRect">
                          <a:avLst/>
                        </a:prstGeom>
                        <a:solidFill>
                          <a:srgbClr val="1F497D">
                            <a:lumMod val="20000"/>
                            <a:lumOff val="80000"/>
                          </a:srgbClr>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13B367D9" w14:textId="77777777" w:rsidR="0065009D" w:rsidRDefault="0065009D" w:rsidP="0065009D">
                            <w:pPr>
                              <w:spacing w:after="0"/>
                              <w:jc w:val="both"/>
                            </w:pPr>
                            <w:r w:rsidRPr="00276D1B">
                              <w:rPr>
                                <w:b/>
                                <w:u w:val="single"/>
                              </w:rPr>
                              <w:t>À noter :</w:t>
                            </w:r>
                            <w:r w:rsidRPr="000E3662">
                              <w:t xml:space="preserve"> Les TROD grippe ont une excellente VPP (valeur prédictive positive) mais une faible VPN (valeur prédictive négative). Leur négativité ne permet donc pas d’exclure un cas de grippe.</w:t>
                            </w:r>
                          </w:p>
                          <w:p w14:paraId="64A3A721" w14:textId="77777777" w:rsidR="0065009D" w:rsidRDefault="0065009D" w:rsidP="0065009D">
                            <w:pPr>
                              <w:pStyle w:val="NormalWeb"/>
                              <w:spacing w:before="0" w:beforeAutospacing="0" w:after="0" w:afterAutospacing="0"/>
                              <w:jc w:val="both"/>
                            </w:pPr>
                          </w:p>
                        </w:txbxContent>
                      </wps:txbx>
                      <wps:bodyPr wrap="square" rtlCol="0" anchor="ctr">
                        <a:noAutofit/>
                      </wps:bodyPr>
                    </wps:wsp>
                  </a:graphicData>
                </a:graphic>
                <wp14:sizeRelV relativeFrom="margin">
                  <wp14:pctHeight>0</wp14:pctHeight>
                </wp14:sizeRelV>
              </wp:anchor>
            </w:drawing>
          </mc:Choice>
          <mc:Fallback>
            <w:pict>
              <v:roundrect w14:anchorId="57F79762" id="_x0000_s1029" style="position:absolute;left:0;text-align:left;margin-left:-7.1pt;margin-top:18.6pt;width:495.75pt;height:56.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" fillcolor="#c6d9f1" strokecolor="#4a7ebb">
                <v:shadow on="t" color="black" opacity="22937f" origin=",.5" offset="0,.63889mm"/>
                <v:textbox>
                  <w:txbxContent>
                    <w:p w14:paraId="13B367D9" w14:textId="77777777" w:rsidR="0065009D" w:rsidRDefault="0065009D" w:rsidP="0065009D">
                      <w:pPr>
                        <w:spacing w:after="0"/>
                        <w:jc w:val="both"/>
                      </w:pPr>
                      <w:r w:rsidRPr="00276D1B">
                        <w:rPr>
                          <w:b/>
                          <w:u w:val="single"/>
                        </w:rPr>
                        <w:t>À noter :</w:t>
                      </w:r>
                      <w:r w:rsidRPr="000E3662">
                        <w:t xml:space="preserve"> Les TROD grippe ont une excellente VPP (valeur prédictive positive) mais une faible VPN (valeur prédictive négative). Leur négativité ne permet donc pas d’exclure un cas de grippe.</w:t>
                      </w:r>
                    </w:p>
                    <w:p w14:paraId="64A3A721" w14:textId="77777777" w:rsidR="0065009D" w:rsidRDefault="0065009D" w:rsidP="0065009D">
                      <w:pPr>
                        <w:pStyle w:val="NormalWeb"/>
                        <w:spacing w:before="0" w:beforeAutospacing="0" w:after="0" w:afterAutospacing="0"/>
                        <w:jc w:val="both"/>
                      </w:pPr>
                    </w:p>
                  </w:txbxContent>
                </v:textbox>
              </v:roundrect>
            </w:pict>
          </mc:Fallback>
        </mc:AlternateContent>
      </w:r>
    </w:p>
    <w:p w14:paraId="1A681760" w14:textId="77777777" w:rsidR="0065009D" w:rsidRDefault="0065009D" w:rsidP="0065009D">
      <w:pPr>
        <w:spacing w:after="0"/>
        <w:jc w:val="both"/>
      </w:pPr>
    </w:p>
    <w:p w14:paraId="265585F5" w14:textId="77777777" w:rsidR="0065009D" w:rsidRDefault="0065009D" w:rsidP="0065009D">
      <w:pPr>
        <w:spacing w:after="0"/>
        <w:jc w:val="both"/>
      </w:pPr>
    </w:p>
    <w:p w14:paraId="3A00D7CE" w14:textId="77777777" w:rsidR="0065009D" w:rsidRDefault="0065009D" w:rsidP="0065009D">
      <w:pPr>
        <w:spacing w:after="0"/>
        <w:jc w:val="both"/>
      </w:pPr>
    </w:p>
    <w:p w14:paraId="4D63BE78" w14:textId="77777777" w:rsidR="0065009D" w:rsidRDefault="0065009D" w:rsidP="0065009D">
      <w:pPr>
        <w:spacing w:after="0"/>
        <w:jc w:val="both"/>
        <w:rPr>
          <w:rStyle w:val="Lienhypertexte"/>
        </w:rPr>
      </w:pPr>
    </w:p>
    <w:p w14:paraId="068EEA1F" w14:textId="77777777" w:rsidR="0065009D" w:rsidRDefault="0065009D" w:rsidP="0065009D">
      <w:pPr>
        <w:spacing w:after="0"/>
        <w:jc w:val="both"/>
      </w:pPr>
    </w:p>
    <w:p w14:paraId="33B869A6" w14:textId="77777777" w:rsidR="0065009D" w:rsidRDefault="0065009D" w:rsidP="0065009D">
      <w:pPr>
        <w:spacing w:after="0"/>
        <w:jc w:val="both"/>
      </w:pPr>
      <w:r w:rsidRPr="000E3662">
        <w:rPr>
          <w:noProof/>
          <w:lang w:eastAsia="fr-FR"/>
        </w:rPr>
        <mc:AlternateContent>
          <mc:Choice Requires="wps">
            <w:drawing>
              <wp:anchor distT="0" distB="0" distL="114300" distR="114300" simplePos="0" relativeHeight="251673600" behindDoc="0" locked="0" layoutInCell="1" allowOverlap="1" wp14:anchorId="0E861E0A" wp14:editId="4A3B0E78">
                <wp:simplePos x="0" y="0"/>
                <wp:positionH relativeFrom="margin">
                  <wp:posOffset>-102870</wp:posOffset>
                </wp:positionH>
                <wp:positionV relativeFrom="paragraph">
                  <wp:posOffset>105410</wp:posOffset>
                </wp:positionV>
                <wp:extent cx="6296025" cy="1367155"/>
                <wp:effectExtent l="57150" t="19050" r="85725" b="99695"/>
                <wp:wrapNone/>
                <wp:docPr id="4" name="Rectangle à coins arrondis 7"/>
                <wp:cNvGraphicFramePr/>
                <a:graphic xmlns:a="http://schemas.openxmlformats.org/drawingml/2006/main">
                  <a:graphicData uri="http://schemas.microsoft.com/office/word/2010/wordprocessingShape">
                    <wps:wsp>
                      <wps:cNvSpPr/>
                      <wps:spPr>
                        <a:xfrm>
                          <a:off x="0" y="0"/>
                          <a:ext cx="6296025" cy="1367155"/>
                        </a:xfrm>
                        <a:prstGeom prst="roundRect">
                          <a:avLst/>
                        </a:prstGeom>
                        <a:solidFill>
                          <a:srgbClr val="1F497D">
                            <a:lumMod val="20000"/>
                            <a:lumOff val="80000"/>
                          </a:srgbClr>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04D93154" w14:textId="77777777" w:rsidR="0065009D" w:rsidRPr="000E3662" w:rsidRDefault="0065009D" w:rsidP="0065009D">
                            <w:pPr>
                              <w:spacing w:after="0"/>
                              <w:jc w:val="both"/>
                            </w:pPr>
                            <w:r w:rsidRPr="000E3662">
                              <w:rPr>
                                <w:rFonts w:hint="eastAsia"/>
                              </w:rPr>
                              <w:sym w:font="Symbol" w:char="F0B7"/>
                            </w:r>
                            <w:r w:rsidRPr="000E3662">
                              <w:t xml:space="preserve">  Les TROD grippe recommandés par le CNR des virus des infections respiratoires sont disponibles sur </w:t>
                            </w:r>
                            <w:hyperlink r:id="rId34" w:history="1">
                              <w:r w:rsidRPr="000E3662">
                                <w:rPr>
                                  <w:rStyle w:val="Lienhypertexte"/>
                                </w:rPr>
                                <w:t>https://www.pasteur.fr</w:t>
                              </w:r>
                            </w:hyperlink>
                          </w:p>
                          <w:p w14:paraId="1B461E7D" w14:textId="77777777" w:rsidR="0065009D" w:rsidRPr="000E3662" w:rsidRDefault="0065009D" w:rsidP="0065009D">
                            <w:pPr>
                              <w:spacing w:after="0"/>
                              <w:jc w:val="both"/>
                            </w:pPr>
                          </w:p>
                          <w:p w14:paraId="6C0C5303" w14:textId="77777777" w:rsidR="0065009D" w:rsidRDefault="0065009D" w:rsidP="0065009D">
                            <w:pPr>
                              <w:spacing w:after="0"/>
                              <w:jc w:val="both"/>
                              <w:rPr>
                                <w:rStyle w:val="Lienhypertexte"/>
                              </w:rPr>
                            </w:pPr>
                            <w:r w:rsidRPr="000E3662">
                              <w:rPr>
                                <w:rFonts w:hint="eastAsia"/>
                              </w:rPr>
                              <w:sym w:font="Symbol" w:char="F0B7"/>
                            </w:r>
                            <w:r w:rsidRPr="000E3662">
                              <w:t xml:space="preserve">  L’utilisation des TROD grippe n’est pas recommandée en dehors des périodes de circulation virale intense. Vous pouvez consulter l’évolution de l’épidémie grippale sur </w:t>
                            </w:r>
                            <w:hyperlink r:id="rId35" w:history="1">
                              <w:r w:rsidRPr="000E3662">
                                <w:rPr>
                                  <w:rStyle w:val="Lienhypertexte"/>
                                </w:rPr>
                                <w:t>Santé publique France</w:t>
                              </w:r>
                            </w:hyperlink>
                          </w:p>
                          <w:p w14:paraId="2FD97D5F" w14:textId="77777777" w:rsidR="0065009D" w:rsidRDefault="0065009D" w:rsidP="0065009D">
                            <w:pPr>
                              <w:pStyle w:val="NormalWeb"/>
                              <w:spacing w:before="0" w:beforeAutospacing="0" w:after="0" w:afterAutospacing="0"/>
                              <w:jc w:val="both"/>
                            </w:pPr>
                          </w:p>
                        </w:txbxContent>
                      </wps:txbx>
                      <wps:bodyPr wrap="square" rtlCol="0" anchor="ctr">
                        <a:noAutofit/>
                      </wps:bodyPr>
                    </wps:wsp>
                  </a:graphicData>
                </a:graphic>
                <wp14:sizeRelV relativeFrom="margin">
                  <wp14:pctHeight>0</wp14:pctHeight>
                </wp14:sizeRelV>
              </wp:anchor>
            </w:drawing>
          </mc:Choice>
          <mc:Fallback>
            <w:pict>
              <v:roundrect w14:anchorId="0E861E0A" id="_x0000_s1030" style="position:absolute;left:0;text-align:left;margin-left:-8.1pt;margin-top:8.3pt;width:495.75pt;height:107.6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" fillcolor="#c6d9f1" strokecolor="#4a7ebb">
                <v:shadow on="t" color="black" opacity="22937f" origin=",.5" offset="0,.63889mm"/>
                <v:textbox>
                  <w:txbxContent>
                    <w:p w14:paraId="04D93154" w14:textId="77777777" w:rsidR="0065009D" w:rsidRPr="000E3662" w:rsidRDefault="0065009D" w:rsidP="0065009D">
                      <w:pPr>
                        <w:spacing w:after="0"/>
                        <w:jc w:val="both"/>
                      </w:pPr>
                      <w:r w:rsidRPr="000E3662">
                        <w:rPr>
                          <w:rFonts w:hint="eastAsia"/>
                        </w:rPr>
                        <w:sym w:font="Symbol" w:char="F0B7"/>
                      </w:r>
                      <w:r w:rsidRPr="000E3662">
                        <w:t xml:space="preserve">  Les TROD grippe recommandés par le CNR des virus des infections respiratoires sont disponibles sur </w:t>
                      </w:r>
                      <w:hyperlink r:id="rId36" w:history="1">
                        <w:r w:rsidRPr="000E3662">
                          <w:rPr>
                            <w:rStyle w:val="Lienhypertexte"/>
                          </w:rPr>
                          <w:t>https://www.pasteur.fr</w:t>
                        </w:r>
                      </w:hyperlink>
                    </w:p>
                    <w:p w14:paraId="1B461E7D" w14:textId="77777777" w:rsidR="0065009D" w:rsidRPr="000E3662" w:rsidRDefault="0065009D" w:rsidP="0065009D">
                      <w:pPr>
                        <w:spacing w:after="0"/>
                        <w:jc w:val="both"/>
                      </w:pPr>
                    </w:p>
                    <w:p w14:paraId="6C0C5303" w14:textId="77777777" w:rsidR="0065009D" w:rsidRDefault="0065009D" w:rsidP="0065009D">
                      <w:pPr>
                        <w:spacing w:after="0"/>
                        <w:jc w:val="both"/>
                        <w:rPr>
                          <w:rStyle w:val="Lienhypertexte"/>
                        </w:rPr>
                      </w:pPr>
                      <w:r w:rsidRPr="000E3662">
                        <w:rPr>
                          <w:rFonts w:hint="eastAsia"/>
                        </w:rPr>
                        <w:sym w:font="Symbol" w:char="F0B7"/>
                      </w:r>
                      <w:r w:rsidRPr="000E3662">
                        <w:t xml:space="preserve">  L’utilisation des TROD grippe n’est pas recommandée en dehors des périodes de circulation virale intense. Vous pouvez consulter l’évolution de l’épidémie grippale sur </w:t>
                      </w:r>
                      <w:hyperlink r:id="rId37" w:history="1">
                        <w:r w:rsidRPr="000E3662">
                          <w:rPr>
                            <w:rStyle w:val="Lienhypertexte"/>
                          </w:rPr>
                          <w:t>Santé publique France</w:t>
                        </w:r>
                      </w:hyperlink>
                    </w:p>
                    <w:p w14:paraId="2FD97D5F" w14:textId="77777777" w:rsidR="0065009D" w:rsidRDefault="0065009D" w:rsidP="0065009D">
                      <w:pPr>
                        <w:pStyle w:val="NormalWeb"/>
                        <w:spacing w:before="0" w:beforeAutospacing="0" w:after="0" w:afterAutospacing="0"/>
                        <w:jc w:val="both"/>
                      </w:pPr>
                    </w:p>
                  </w:txbxContent>
                </v:textbox>
                <w10:wrap anchorx="margin"/>
              </v:roundrect>
            </w:pict>
          </mc:Fallback>
        </mc:AlternateContent>
      </w:r>
    </w:p>
    <w:p w14:paraId="44B9DC99" w14:textId="77777777" w:rsidR="0065009D" w:rsidRDefault="0065009D" w:rsidP="0065009D">
      <w:pPr>
        <w:spacing w:after="0"/>
        <w:jc w:val="both"/>
      </w:pPr>
    </w:p>
    <w:p w14:paraId="2950A483" w14:textId="77777777" w:rsidR="0065009D" w:rsidRDefault="0065009D" w:rsidP="0065009D">
      <w:pPr>
        <w:spacing w:after="0"/>
        <w:jc w:val="both"/>
      </w:pPr>
    </w:p>
    <w:p w14:paraId="15C401A5" w14:textId="77777777" w:rsidR="0065009D" w:rsidRDefault="0065009D" w:rsidP="0065009D">
      <w:pPr>
        <w:spacing w:after="0"/>
        <w:rPr>
          <w:b/>
          <w:bCs/>
          <w:u w:val="single"/>
        </w:rPr>
      </w:pPr>
    </w:p>
    <w:p w14:paraId="1B7FD86E" w14:textId="77777777" w:rsidR="0065009D" w:rsidRDefault="0065009D" w:rsidP="0065009D">
      <w:pPr>
        <w:spacing w:after="0"/>
        <w:rPr>
          <w:b/>
          <w:bCs/>
          <w:u w:val="single"/>
        </w:rPr>
      </w:pPr>
    </w:p>
    <w:p w14:paraId="129EC45D" w14:textId="77777777" w:rsidR="0065009D" w:rsidRDefault="0065009D" w:rsidP="0065009D">
      <w:pPr>
        <w:spacing w:after="0"/>
        <w:rPr>
          <w:b/>
          <w:bCs/>
          <w:u w:val="single"/>
        </w:rPr>
      </w:pPr>
    </w:p>
    <w:p w14:paraId="6FDFD370" w14:textId="77777777" w:rsidR="0065009D" w:rsidRDefault="0065009D" w:rsidP="0065009D">
      <w:pPr>
        <w:spacing w:after="0"/>
        <w:rPr>
          <w:b/>
          <w:bCs/>
          <w:u w:val="single"/>
        </w:rPr>
      </w:pPr>
    </w:p>
    <w:p w14:paraId="78BF5D9B" w14:textId="77777777" w:rsidR="0065009D" w:rsidRDefault="0065009D" w:rsidP="0065009D">
      <w:pPr>
        <w:spacing w:after="0"/>
        <w:rPr>
          <w:b/>
          <w:bCs/>
          <w:u w:val="single"/>
        </w:rPr>
      </w:pPr>
    </w:p>
    <w:p w14:paraId="6076EF21" w14:textId="77777777" w:rsidR="0065009D" w:rsidRDefault="0065009D" w:rsidP="0065009D">
      <w:pPr>
        <w:spacing w:after="0"/>
        <w:rPr>
          <w:b/>
          <w:bCs/>
          <w:u w:val="single"/>
        </w:rPr>
      </w:pPr>
    </w:p>
    <w:p w14:paraId="4DC0AD83" w14:textId="77777777" w:rsidR="0065009D" w:rsidRPr="0065009D" w:rsidRDefault="0065009D" w:rsidP="0065009D">
      <w:pPr>
        <w:spacing w:after="0"/>
        <w:rPr>
          <w:b/>
          <w:bCs/>
          <w:u w:val="single"/>
        </w:rPr>
      </w:pPr>
    </w:p>
    <w:p w14:paraId="73CD6356" w14:textId="77777777" w:rsidR="0065009D" w:rsidRPr="00951DE6" w:rsidRDefault="0065009D" w:rsidP="00951DE6">
      <w:pPr>
        <w:pStyle w:val="Paragraphedeliste"/>
        <w:numPr>
          <w:ilvl w:val="0"/>
          <w:numId w:val="6"/>
        </w:numPr>
        <w:spacing w:after="0"/>
        <w:rPr>
          <w:b/>
          <w:bCs/>
          <w:u w:val="single"/>
        </w:rPr>
      </w:pPr>
      <w:r>
        <w:rPr>
          <w:b/>
          <w:bCs/>
          <w:u w:val="single"/>
        </w:rPr>
        <w:t xml:space="preserve">3.4 TROD </w:t>
      </w:r>
      <w:r w:rsidRPr="0065009D">
        <w:rPr>
          <w:b/>
          <w:sz w:val="21"/>
          <w:szCs w:val="21"/>
          <w:u w:val="single"/>
        </w:rPr>
        <w:t xml:space="preserve">DE RECHERCHE </w:t>
      </w:r>
      <w:r w:rsidRPr="0065009D">
        <w:rPr>
          <w:b/>
          <w:i/>
          <w:iCs/>
          <w:sz w:val="21"/>
          <w:szCs w:val="21"/>
          <w:u w:val="single"/>
        </w:rPr>
        <w:t xml:space="preserve">A MINIMA </w:t>
      </w:r>
      <w:r w:rsidRPr="0065009D">
        <w:rPr>
          <w:b/>
          <w:sz w:val="21"/>
          <w:szCs w:val="21"/>
          <w:u w:val="single"/>
        </w:rPr>
        <w:t>DE NITRITURIE ET DE LEUCOCYTURIE (CYSTITE)</w:t>
      </w:r>
    </w:p>
    <w:p w14:paraId="2968D7E6" w14:textId="77777777" w:rsidR="00104255" w:rsidRPr="0065009D" w:rsidRDefault="00104255" w:rsidP="00276D1B">
      <w:pPr>
        <w:spacing w:after="0"/>
        <w:jc w:val="both"/>
      </w:pPr>
    </w:p>
    <w:p w14:paraId="362F5D8F" w14:textId="77777777" w:rsidR="009E11C7" w:rsidRDefault="0065009D" w:rsidP="0065009D">
      <w:pPr>
        <w:spacing w:after="0"/>
        <w:jc w:val="both"/>
        <w:rPr>
          <w:bCs/>
        </w:rPr>
      </w:pPr>
      <w:r w:rsidRPr="0065009D">
        <w:rPr>
          <w:bCs/>
        </w:rPr>
        <w:t>L</w:t>
      </w:r>
      <w:r>
        <w:rPr>
          <w:bCs/>
        </w:rPr>
        <w:t xml:space="preserve">e TROD de recherche </w:t>
      </w:r>
      <w:r w:rsidRPr="00065526">
        <w:rPr>
          <w:bCs/>
          <w:i/>
        </w:rPr>
        <w:t>a minima</w:t>
      </w:r>
      <w:r>
        <w:rPr>
          <w:bCs/>
        </w:rPr>
        <w:t xml:space="preserve"> de nitriturie et de leucocyturie est remboursé par l’Assurance Maladie. Il s’effectue sur les urines d’une patiente.</w:t>
      </w:r>
    </w:p>
    <w:p w14:paraId="522509F8" w14:textId="77777777" w:rsidR="0065009D" w:rsidRDefault="0065009D" w:rsidP="0065009D">
      <w:pPr>
        <w:spacing w:after="0"/>
        <w:jc w:val="both"/>
        <w:rPr>
          <w:bCs/>
        </w:rPr>
      </w:pPr>
    </w:p>
    <w:p w14:paraId="71FC52D2" w14:textId="77777777" w:rsidR="0065009D" w:rsidRDefault="0065009D" w:rsidP="0065009D">
      <w:pPr>
        <w:spacing w:after="0"/>
        <w:jc w:val="both"/>
        <w:rPr>
          <w:bCs/>
        </w:rPr>
      </w:pPr>
      <w:r>
        <w:rPr>
          <w:bCs/>
        </w:rPr>
        <w:t>Cette recherche peut se faire directement pour une patiente se présentant spontanément à la pharmacie ou à partir d’une ordonnance de dispensation conditionnelle.</w:t>
      </w:r>
    </w:p>
    <w:p w14:paraId="7802396C" w14:textId="77777777" w:rsidR="0065009D" w:rsidRDefault="0065009D" w:rsidP="0065009D">
      <w:pPr>
        <w:spacing w:after="0"/>
        <w:jc w:val="both"/>
        <w:rPr>
          <w:bCs/>
        </w:rPr>
      </w:pPr>
    </w:p>
    <w:p w14:paraId="0861DD3F" w14:textId="7DEE0900" w:rsidR="0065009D" w:rsidRDefault="00F56777" w:rsidP="0065009D">
      <w:pPr>
        <w:spacing w:after="0"/>
        <w:jc w:val="both"/>
        <w:rPr>
          <w:bCs/>
        </w:rPr>
      </w:pPr>
      <w:r>
        <w:rPr>
          <w:bCs/>
        </w:rPr>
        <w:sym w:font="Wingdings" w:char="F0D8"/>
      </w:r>
      <w:r>
        <w:rPr>
          <w:bCs/>
        </w:rPr>
        <w:t xml:space="preserve"> </w:t>
      </w:r>
      <w:r w:rsidR="0065009D">
        <w:rPr>
          <w:bCs/>
        </w:rPr>
        <w:t>E</w:t>
      </w:r>
      <w:r>
        <w:rPr>
          <w:bCs/>
        </w:rPr>
        <w:t xml:space="preserve">n cas de recherche directe pour une patiente présentant une gêne fonctionnelle urinaire, l’Assurance Maladie propose un </w:t>
      </w:r>
      <w:hyperlink r:id="rId38" w:history="1">
        <w:r w:rsidRPr="00F56777">
          <w:rPr>
            <w:rStyle w:val="Lienhypertexte"/>
            <w:bCs/>
          </w:rPr>
          <w:t>document</w:t>
        </w:r>
      </w:hyperlink>
      <w:r>
        <w:rPr>
          <w:bCs/>
        </w:rPr>
        <w:t xml:space="preserve"> présentant un arbre décisionnel </w:t>
      </w:r>
      <w:bookmarkStart w:id="0" w:name="_GoBack"/>
      <w:bookmarkEnd w:id="0"/>
      <w:r>
        <w:rPr>
          <w:bCs/>
        </w:rPr>
        <w:t>associé</w:t>
      </w:r>
      <w:r w:rsidR="005207BC">
        <w:rPr>
          <w:bCs/>
        </w:rPr>
        <w:t xml:space="preserve"> notamment</w:t>
      </w:r>
      <w:r>
        <w:rPr>
          <w:bCs/>
        </w:rPr>
        <w:t xml:space="preserve"> à des critères d’éligibilité :</w:t>
      </w:r>
    </w:p>
    <w:p w14:paraId="2D717ADA" w14:textId="77777777" w:rsidR="00F56777" w:rsidRDefault="00F56777" w:rsidP="00065526">
      <w:pPr>
        <w:spacing w:after="0"/>
        <w:ind w:firstLine="708"/>
        <w:jc w:val="both"/>
      </w:pPr>
      <w:r>
        <w:t>- Femme de 16 à 65 ans,</w:t>
      </w:r>
    </w:p>
    <w:p w14:paraId="7582C32D" w14:textId="77777777" w:rsidR="00F56777" w:rsidRPr="0065009D" w:rsidRDefault="00F56777" w:rsidP="00065526">
      <w:pPr>
        <w:spacing w:after="0"/>
        <w:ind w:firstLine="708"/>
        <w:jc w:val="both"/>
        <w:rPr>
          <w:bCs/>
        </w:rPr>
      </w:pPr>
      <w:r>
        <w:t>- brulures mictionnelles, dysurie, pollakiurie, mictions impérieuses.</w:t>
      </w:r>
    </w:p>
    <w:p w14:paraId="34868837" w14:textId="77777777" w:rsidR="0065009D" w:rsidRDefault="0065009D" w:rsidP="0065009D">
      <w:pPr>
        <w:spacing w:after="0"/>
        <w:jc w:val="both"/>
        <w:rPr>
          <w:bCs/>
          <w:u w:val="single"/>
        </w:rPr>
      </w:pPr>
    </w:p>
    <w:p w14:paraId="28246AFE" w14:textId="77777777" w:rsidR="00767849" w:rsidRDefault="00767849" w:rsidP="0065009D">
      <w:pPr>
        <w:spacing w:after="0"/>
        <w:jc w:val="both"/>
        <w:rPr>
          <w:bCs/>
        </w:rPr>
      </w:pPr>
      <w:r w:rsidRPr="00767849">
        <w:rPr>
          <w:bCs/>
        </w:rPr>
        <w:sym w:font="Wingdings" w:char="F0D8"/>
      </w:r>
      <w:r>
        <w:rPr>
          <w:bCs/>
        </w:rPr>
        <w:t xml:space="preserve"> Présentation </w:t>
      </w:r>
      <w:r w:rsidR="00B82DEC">
        <w:rPr>
          <w:bCs/>
        </w:rPr>
        <w:t>d’une ordonnance avec dispensation conditionnelle :</w:t>
      </w:r>
    </w:p>
    <w:p w14:paraId="182950EB" w14:textId="77777777" w:rsidR="00B82DEC" w:rsidRDefault="00B82DEC" w:rsidP="0065009D">
      <w:pPr>
        <w:spacing w:after="0"/>
        <w:jc w:val="both"/>
        <w:rPr>
          <w:bCs/>
        </w:rPr>
      </w:pPr>
      <w:r>
        <w:rPr>
          <w:bCs/>
        </w:rPr>
        <w:t>La délivrance de l’antibiotique n’est effectuée que si le test est positif.</w:t>
      </w:r>
    </w:p>
    <w:p w14:paraId="0411F528" w14:textId="77777777" w:rsidR="00B82DEC" w:rsidRDefault="00B82DEC" w:rsidP="0065009D">
      <w:pPr>
        <w:spacing w:after="0"/>
        <w:jc w:val="both"/>
        <w:rPr>
          <w:bCs/>
        </w:rPr>
      </w:pPr>
    </w:p>
    <w:p w14:paraId="3FF6B255" w14:textId="3B47792F" w:rsidR="00B82DEC" w:rsidRDefault="00B82DEC" w:rsidP="0065009D">
      <w:pPr>
        <w:spacing w:after="0"/>
        <w:jc w:val="both"/>
        <w:rPr>
          <w:bCs/>
        </w:rPr>
      </w:pPr>
      <w:r>
        <w:rPr>
          <w:bCs/>
        </w:rPr>
        <w:t xml:space="preserve">Vous trouverez plus d’information sur le site </w:t>
      </w:r>
      <w:hyperlink r:id="rId39" w:history="1">
        <w:r w:rsidRPr="00B82DEC">
          <w:rPr>
            <w:rStyle w:val="Lienhypertexte"/>
            <w:bCs/>
          </w:rPr>
          <w:t>AMELI</w:t>
        </w:r>
      </w:hyperlink>
      <w:r>
        <w:rPr>
          <w:bCs/>
        </w:rPr>
        <w:t>.</w:t>
      </w:r>
    </w:p>
    <w:p w14:paraId="7624468F" w14:textId="77777777" w:rsidR="00B82DEC" w:rsidRPr="007F5A96" w:rsidRDefault="00B82DEC" w:rsidP="0065009D">
      <w:pPr>
        <w:spacing w:after="0"/>
        <w:jc w:val="both"/>
        <w:rPr>
          <w:bCs/>
          <w:color w:val="FF0000"/>
        </w:rPr>
      </w:pPr>
    </w:p>
    <w:p w14:paraId="68B3DA6D" w14:textId="3852BFA4" w:rsidR="00B82DEC" w:rsidRPr="007F5A96" w:rsidRDefault="00F5455D" w:rsidP="0065009D">
      <w:pPr>
        <w:spacing w:after="0"/>
        <w:jc w:val="both"/>
        <w:rPr>
          <w:b/>
          <w:bCs/>
          <w:color w:val="FF0000"/>
        </w:rPr>
      </w:pPr>
      <w:r w:rsidRPr="007F5A96">
        <w:rPr>
          <w:b/>
          <w:bCs/>
          <w:color w:val="FF0000"/>
        </w:rPr>
        <w:t xml:space="preserve">Important ! </w:t>
      </w:r>
      <w:r w:rsidR="00B82DEC" w:rsidRPr="007F5A96">
        <w:rPr>
          <w:b/>
          <w:bCs/>
          <w:color w:val="FF0000"/>
        </w:rPr>
        <w:t>Des textes doivent paraitre sur les modalités pratiques de réalisation des tests.</w:t>
      </w:r>
    </w:p>
    <w:p w14:paraId="56CF78D0" w14:textId="77777777" w:rsidR="00B82DEC" w:rsidRDefault="00B82DEC" w:rsidP="0065009D">
      <w:pPr>
        <w:spacing w:after="0"/>
        <w:jc w:val="both"/>
        <w:rPr>
          <w:bCs/>
        </w:rPr>
      </w:pPr>
    </w:p>
    <w:p w14:paraId="705AAF02" w14:textId="77777777" w:rsidR="00B82DEC" w:rsidRDefault="00B82DEC" w:rsidP="0065009D">
      <w:pPr>
        <w:spacing w:after="0"/>
        <w:jc w:val="both"/>
        <w:rPr>
          <w:bCs/>
        </w:rPr>
      </w:pPr>
    </w:p>
    <w:p w14:paraId="61F8CBB2" w14:textId="77777777" w:rsidR="00B82DEC" w:rsidRPr="00767849" w:rsidRDefault="00B82DEC" w:rsidP="0065009D">
      <w:pPr>
        <w:spacing w:after="0"/>
        <w:jc w:val="both"/>
        <w:rPr>
          <w:bCs/>
        </w:rPr>
      </w:pPr>
    </w:p>
    <w:p w14:paraId="20AB6221" w14:textId="77777777" w:rsidR="0065009D" w:rsidRPr="0065009D" w:rsidRDefault="0065009D" w:rsidP="0065009D">
      <w:pPr>
        <w:spacing w:after="0"/>
        <w:rPr>
          <w:bCs/>
          <w:u w:val="single"/>
        </w:rPr>
      </w:pPr>
    </w:p>
    <w:p w14:paraId="69E04621" w14:textId="77777777" w:rsidR="000E3662" w:rsidRPr="001403B0" w:rsidRDefault="0065009D" w:rsidP="001403B0">
      <w:pPr>
        <w:pStyle w:val="Paragraphedeliste"/>
        <w:numPr>
          <w:ilvl w:val="0"/>
          <w:numId w:val="6"/>
        </w:numPr>
        <w:spacing w:after="0"/>
        <w:rPr>
          <w:b/>
          <w:bCs/>
          <w:u w:val="single"/>
        </w:rPr>
      </w:pPr>
      <w:r>
        <w:rPr>
          <w:b/>
          <w:bCs/>
          <w:u w:val="single"/>
        </w:rPr>
        <w:lastRenderedPageBreak/>
        <w:t>3.5</w:t>
      </w:r>
      <w:r w:rsidR="000E3662" w:rsidRPr="000E3662">
        <w:rPr>
          <w:b/>
          <w:bCs/>
          <w:u w:val="single"/>
        </w:rPr>
        <w:t xml:space="preserve">. TROD SUR SANG CAPILLAIRE </w:t>
      </w:r>
      <w:r w:rsidR="003F4220">
        <w:rPr>
          <w:b/>
          <w:bCs/>
          <w:u w:val="single"/>
        </w:rPr>
        <w:t xml:space="preserve">ET </w:t>
      </w:r>
      <w:r w:rsidR="00851D8D">
        <w:rPr>
          <w:b/>
          <w:bCs/>
          <w:u w:val="single"/>
        </w:rPr>
        <w:t xml:space="preserve">SUR </w:t>
      </w:r>
      <w:r w:rsidR="003F4220">
        <w:rPr>
          <w:b/>
          <w:bCs/>
          <w:u w:val="single"/>
        </w:rPr>
        <w:t xml:space="preserve">PRELEVEMENT RHINOPHARYNGE </w:t>
      </w:r>
      <w:r w:rsidR="000E3662" w:rsidRPr="000E3662">
        <w:rPr>
          <w:b/>
          <w:bCs/>
          <w:u w:val="single"/>
        </w:rPr>
        <w:t>DU COVID-19</w:t>
      </w:r>
    </w:p>
    <w:p w14:paraId="5BEF5E64" w14:textId="77777777" w:rsidR="007C2A42" w:rsidRDefault="007C2A42" w:rsidP="007C2A42">
      <w:pPr>
        <w:spacing w:after="0"/>
        <w:jc w:val="both"/>
      </w:pPr>
    </w:p>
    <w:p w14:paraId="09050C95" w14:textId="77777777" w:rsidR="000E3662" w:rsidRPr="000E3662" w:rsidRDefault="0065009D" w:rsidP="007C2A42">
      <w:pPr>
        <w:spacing w:after="0"/>
        <w:jc w:val="both"/>
      </w:pPr>
      <w:r>
        <w:rPr>
          <w:b/>
        </w:rPr>
        <w:t>3.5</w:t>
      </w:r>
      <w:r w:rsidR="003F4220" w:rsidRPr="003F4220">
        <w:rPr>
          <w:b/>
        </w:rPr>
        <w:t>.1.</w:t>
      </w:r>
      <w:r w:rsidR="003F4220">
        <w:t xml:space="preserve"> </w:t>
      </w:r>
      <w:r w:rsidR="003F4220" w:rsidRPr="003F4220">
        <w:rPr>
          <w:b/>
        </w:rPr>
        <w:t>Concernant les</w:t>
      </w:r>
      <w:r w:rsidR="000E3662" w:rsidRPr="003F4220">
        <w:rPr>
          <w:b/>
        </w:rPr>
        <w:t xml:space="preserve"> TROD capillaires COVID-19 permettant</w:t>
      </w:r>
      <w:r w:rsidR="000E3662" w:rsidRPr="000E3662">
        <w:t xml:space="preserve"> </w:t>
      </w:r>
      <w:r w:rsidR="000E3662" w:rsidRPr="000E3662">
        <w:rPr>
          <w:b/>
          <w:bCs/>
        </w:rPr>
        <w:t xml:space="preserve">la détection des IgG et </w:t>
      </w:r>
      <w:r w:rsidR="003F4220">
        <w:rPr>
          <w:b/>
          <w:bCs/>
        </w:rPr>
        <w:t>IgM anti-SARS-CoV-2 :</w:t>
      </w:r>
    </w:p>
    <w:p w14:paraId="21C052F9" w14:textId="77777777" w:rsidR="000E3662" w:rsidRDefault="000E3662" w:rsidP="007C2A42">
      <w:pPr>
        <w:spacing w:after="0"/>
        <w:jc w:val="both"/>
      </w:pPr>
    </w:p>
    <w:p w14:paraId="6A3BDFB0" w14:textId="77777777" w:rsidR="003F4220" w:rsidRDefault="003F4220" w:rsidP="007C2A42">
      <w:pPr>
        <w:spacing w:after="0"/>
        <w:jc w:val="both"/>
      </w:pPr>
      <w:r>
        <w:t xml:space="preserve">Il convient de suivre les </w:t>
      </w:r>
      <w:hyperlink r:id="rId40" w:anchor=":~:text=La%20HAS%20rappelle%20que%20ces,symptomatiques%20sans%20signe%20de%20gravit%C3%A9" w:history="1">
        <w:r w:rsidRPr="003F4220">
          <w:rPr>
            <w:rStyle w:val="Lienhypertexte"/>
          </w:rPr>
          <w:t>recommandations de la HAS</w:t>
        </w:r>
      </w:hyperlink>
      <w:r>
        <w:t xml:space="preserve"> concernant les indications de ces tests.</w:t>
      </w:r>
    </w:p>
    <w:p w14:paraId="16015CD9" w14:textId="77777777" w:rsidR="003F4220" w:rsidRDefault="003F4220" w:rsidP="007C2A42">
      <w:pPr>
        <w:spacing w:after="0"/>
        <w:jc w:val="both"/>
      </w:pPr>
    </w:p>
    <w:p w14:paraId="4D53B89D" w14:textId="77777777" w:rsidR="003F4220" w:rsidRPr="003F4220" w:rsidRDefault="0065009D" w:rsidP="007C2A42">
      <w:pPr>
        <w:spacing w:after="0"/>
        <w:jc w:val="both"/>
        <w:rPr>
          <w:b/>
        </w:rPr>
      </w:pPr>
      <w:r>
        <w:rPr>
          <w:b/>
        </w:rPr>
        <w:t>3.5</w:t>
      </w:r>
      <w:r w:rsidR="003F4220" w:rsidRPr="003F4220">
        <w:rPr>
          <w:b/>
        </w:rPr>
        <w:t>.2. Concernant les TROD antigéniques par prélèvement rhinopharyngé :</w:t>
      </w:r>
    </w:p>
    <w:p w14:paraId="1FDE3953" w14:textId="77777777" w:rsidR="003F4220" w:rsidRDefault="003F4220" w:rsidP="007C2A42">
      <w:pPr>
        <w:spacing w:after="0"/>
        <w:jc w:val="both"/>
      </w:pPr>
    </w:p>
    <w:p w14:paraId="2B49FA46" w14:textId="77777777" w:rsidR="003F4220" w:rsidRDefault="00584919" w:rsidP="007C2A42">
      <w:pPr>
        <w:spacing w:after="0"/>
        <w:jc w:val="both"/>
      </w:pPr>
      <w:r>
        <w:t xml:space="preserve">Les TROD peuvent être réalisés soit dans le cadre d’un dépistage collectif organisé par une ARS, une préfecture ou un établissement d’enseignement au sein de population ciblée, soit dans le cadre d’un dépistage individuel. Dans ce dernier cas, il est réalisé au sein de la pharmacie </w:t>
      </w:r>
      <w:r w:rsidR="00851D8D">
        <w:t>selon les modalités</w:t>
      </w:r>
      <w:r>
        <w:t xml:space="preserve"> suivantes :</w:t>
      </w:r>
    </w:p>
    <w:p w14:paraId="50131018" w14:textId="4000CF59" w:rsidR="00584919" w:rsidRDefault="00584919" w:rsidP="00065526">
      <w:pPr>
        <w:pStyle w:val="Paragraphedeliste"/>
        <w:numPr>
          <w:ilvl w:val="0"/>
          <w:numId w:val="9"/>
        </w:numPr>
        <w:spacing w:after="0"/>
        <w:jc w:val="both"/>
      </w:pPr>
      <w:r>
        <w:t xml:space="preserve">population éligible : toute personne symptomatique, y compris les mineurs de moins de 12 ans, et dont les </w:t>
      </w:r>
      <w:r w:rsidR="00C8234B">
        <w:t>symptômes</w:t>
      </w:r>
      <w:r>
        <w:t xml:space="preserve"> datent de moins de </w:t>
      </w:r>
      <w:r w:rsidR="00C8234B">
        <w:t>4 jours maximum ;</w:t>
      </w:r>
    </w:p>
    <w:p w14:paraId="065D3932" w14:textId="7A1F69E9" w:rsidR="00C8234B" w:rsidRDefault="00C8234B" w:rsidP="00065526">
      <w:pPr>
        <w:pStyle w:val="Paragraphedeliste"/>
        <w:numPr>
          <w:ilvl w:val="0"/>
          <w:numId w:val="9"/>
        </w:numPr>
        <w:spacing w:after="0"/>
        <w:jc w:val="both"/>
      </w:pPr>
      <w:r>
        <w:t>réalisation du TROD par le pharmacien ou par l’une des personnes suivantes sous sa responsabilité :</w:t>
      </w:r>
    </w:p>
    <w:p w14:paraId="4167E9C9" w14:textId="77777777" w:rsidR="00C8234B" w:rsidRDefault="00C8234B" w:rsidP="007C2A42">
      <w:pPr>
        <w:spacing w:after="0"/>
        <w:jc w:val="both"/>
      </w:pPr>
      <w:r>
        <w:tab/>
      </w:r>
      <w:r w:rsidR="008C0147">
        <w:tab/>
      </w:r>
      <w:r>
        <w:t>- préparateur en pharmacie</w:t>
      </w:r>
      <w:r w:rsidR="008C0147">
        <w:t> ;</w:t>
      </w:r>
    </w:p>
    <w:p w14:paraId="4A80ADD1" w14:textId="77777777" w:rsidR="00C8234B" w:rsidRDefault="00C8234B" w:rsidP="007C2A42">
      <w:pPr>
        <w:spacing w:after="0"/>
        <w:jc w:val="both"/>
      </w:pPr>
      <w:r>
        <w:tab/>
      </w:r>
      <w:r w:rsidR="008C0147">
        <w:tab/>
      </w:r>
      <w:r>
        <w:t>- étudiant ayant validé la première année de pharmacie</w:t>
      </w:r>
      <w:r w:rsidR="008C0147">
        <w:t>.</w:t>
      </w:r>
    </w:p>
    <w:p w14:paraId="4599170C" w14:textId="77777777" w:rsidR="00C8234B" w:rsidRDefault="00C8234B" w:rsidP="007C2A42">
      <w:pPr>
        <w:spacing w:after="0"/>
        <w:jc w:val="both"/>
      </w:pPr>
      <w:r>
        <w:t>Dans tous les cas, le personnel doit être formé à l’acte de prélèvement</w:t>
      </w:r>
      <w:r w:rsidR="00645FF0">
        <w:t>.</w:t>
      </w:r>
    </w:p>
    <w:p w14:paraId="1D160552" w14:textId="77777777" w:rsidR="000E3662" w:rsidRDefault="000E3662" w:rsidP="003F4220">
      <w:pPr>
        <w:spacing w:after="0"/>
        <w:jc w:val="both"/>
      </w:pPr>
    </w:p>
    <w:p w14:paraId="70D6EC15" w14:textId="77777777" w:rsidR="00645FF0" w:rsidRDefault="00645FF0" w:rsidP="003F4220">
      <w:pPr>
        <w:spacing w:after="0"/>
        <w:jc w:val="both"/>
      </w:pPr>
    </w:p>
    <w:p w14:paraId="002BE4E8" w14:textId="77777777" w:rsidR="000E3662" w:rsidRPr="000E5949" w:rsidRDefault="000E3662" w:rsidP="007C2A42">
      <w:pPr>
        <w:spacing w:after="0"/>
      </w:pPr>
    </w:p>
    <w:sectPr w:rsidR="000E3662" w:rsidRPr="000E5949">
      <w:footerReference w:type="defaul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7DD18" w14:textId="77777777" w:rsidR="00C04FD9" w:rsidRDefault="00C04FD9" w:rsidP="00C66323">
      <w:pPr>
        <w:spacing w:after="0" w:line="240" w:lineRule="auto"/>
      </w:pPr>
      <w:r>
        <w:separator/>
      </w:r>
    </w:p>
  </w:endnote>
  <w:endnote w:type="continuationSeparator" w:id="0">
    <w:p w14:paraId="304B792C" w14:textId="77777777" w:rsidR="00C04FD9" w:rsidRDefault="00C04FD9" w:rsidP="00C6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T Std">
    <w:altName w:val="Times LT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334588"/>
      <w:docPartObj>
        <w:docPartGallery w:val="Page Numbers (Bottom of Page)"/>
        <w:docPartUnique/>
      </w:docPartObj>
    </w:sdtPr>
    <w:sdtEndPr/>
    <w:sdtContent>
      <w:p w14:paraId="4049E1E3" w14:textId="19630646" w:rsidR="00C66323" w:rsidRDefault="00C66323">
        <w:pPr>
          <w:pStyle w:val="Pieddepage"/>
          <w:jc w:val="right"/>
        </w:pPr>
        <w:r>
          <w:fldChar w:fldCharType="begin"/>
        </w:r>
        <w:r>
          <w:instrText>PAGE   \* MERGEFORMAT</w:instrText>
        </w:r>
        <w:r>
          <w:fldChar w:fldCharType="separate"/>
        </w:r>
        <w:r w:rsidR="00862766">
          <w:rPr>
            <w:noProof/>
          </w:rPr>
          <w:t>1</w:t>
        </w:r>
        <w:r>
          <w:fldChar w:fldCharType="end"/>
        </w:r>
      </w:p>
    </w:sdtContent>
  </w:sdt>
  <w:p w14:paraId="6D6B96A8" w14:textId="011AB153" w:rsidR="005C0808" w:rsidRDefault="005C0808">
    <w:pPr>
      <w:pStyle w:val="Pieddepage"/>
    </w:pPr>
    <w:r>
      <w:t>Février 202</w:t>
    </w:r>
    <w:r w:rsidR="00C13164">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8568F" w14:textId="77777777" w:rsidR="00C04FD9" w:rsidRDefault="00C04FD9" w:rsidP="00C66323">
      <w:pPr>
        <w:spacing w:after="0" w:line="240" w:lineRule="auto"/>
      </w:pPr>
      <w:r>
        <w:separator/>
      </w:r>
    </w:p>
  </w:footnote>
  <w:footnote w:type="continuationSeparator" w:id="0">
    <w:p w14:paraId="43DA641B" w14:textId="77777777" w:rsidR="00C04FD9" w:rsidRDefault="00C04FD9" w:rsidP="00C66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7E1"/>
    <w:multiLevelType w:val="hybridMultilevel"/>
    <w:tmpl w:val="827A13E6"/>
    <w:lvl w:ilvl="0" w:tplc="A9906624">
      <w:start w:val="1"/>
      <w:numFmt w:val="bullet"/>
      <w:lvlText w:val="-"/>
      <w:lvlJc w:val="left"/>
      <w:pPr>
        <w:tabs>
          <w:tab w:val="num" w:pos="720"/>
        </w:tabs>
        <w:ind w:left="720" w:hanging="360"/>
      </w:pPr>
      <w:rPr>
        <w:rFonts w:ascii="Times New Roman" w:hAnsi="Times New Roman" w:hint="default"/>
      </w:rPr>
    </w:lvl>
    <w:lvl w:ilvl="1" w:tplc="CF045BE2" w:tentative="1">
      <w:start w:val="1"/>
      <w:numFmt w:val="bullet"/>
      <w:lvlText w:val="-"/>
      <w:lvlJc w:val="left"/>
      <w:pPr>
        <w:tabs>
          <w:tab w:val="num" w:pos="1440"/>
        </w:tabs>
        <w:ind w:left="1440" w:hanging="360"/>
      </w:pPr>
      <w:rPr>
        <w:rFonts w:ascii="Times New Roman" w:hAnsi="Times New Roman" w:hint="default"/>
      </w:rPr>
    </w:lvl>
    <w:lvl w:ilvl="2" w:tplc="81CAB4E4" w:tentative="1">
      <w:start w:val="1"/>
      <w:numFmt w:val="bullet"/>
      <w:lvlText w:val="-"/>
      <w:lvlJc w:val="left"/>
      <w:pPr>
        <w:tabs>
          <w:tab w:val="num" w:pos="2160"/>
        </w:tabs>
        <w:ind w:left="2160" w:hanging="360"/>
      </w:pPr>
      <w:rPr>
        <w:rFonts w:ascii="Times New Roman" w:hAnsi="Times New Roman" w:hint="default"/>
      </w:rPr>
    </w:lvl>
    <w:lvl w:ilvl="3" w:tplc="276A82E0" w:tentative="1">
      <w:start w:val="1"/>
      <w:numFmt w:val="bullet"/>
      <w:lvlText w:val="-"/>
      <w:lvlJc w:val="left"/>
      <w:pPr>
        <w:tabs>
          <w:tab w:val="num" w:pos="2880"/>
        </w:tabs>
        <w:ind w:left="2880" w:hanging="360"/>
      </w:pPr>
      <w:rPr>
        <w:rFonts w:ascii="Times New Roman" w:hAnsi="Times New Roman" w:hint="default"/>
      </w:rPr>
    </w:lvl>
    <w:lvl w:ilvl="4" w:tplc="6E3A4164" w:tentative="1">
      <w:start w:val="1"/>
      <w:numFmt w:val="bullet"/>
      <w:lvlText w:val="-"/>
      <w:lvlJc w:val="left"/>
      <w:pPr>
        <w:tabs>
          <w:tab w:val="num" w:pos="3600"/>
        </w:tabs>
        <w:ind w:left="3600" w:hanging="360"/>
      </w:pPr>
      <w:rPr>
        <w:rFonts w:ascii="Times New Roman" w:hAnsi="Times New Roman" w:hint="default"/>
      </w:rPr>
    </w:lvl>
    <w:lvl w:ilvl="5" w:tplc="EC763218" w:tentative="1">
      <w:start w:val="1"/>
      <w:numFmt w:val="bullet"/>
      <w:lvlText w:val="-"/>
      <w:lvlJc w:val="left"/>
      <w:pPr>
        <w:tabs>
          <w:tab w:val="num" w:pos="4320"/>
        </w:tabs>
        <w:ind w:left="4320" w:hanging="360"/>
      </w:pPr>
      <w:rPr>
        <w:rFonts w:ascii="Times New Roman" w:hAnsi="Times New Roman" w:hint="default"/>
      </w:rPr>
    </w:lvl>
    <w:lvl w:ilvl="6" w:tplc="52ECBD84" w:tentative="1">
      <w:start w:val="1"/>
      <w:numFmt w:val="bullet"/>
      <w:lvlText w:val="-"/>
      <w:lvlJc w:val="left"/>
      <w:pPr>
        <w:tabs>
          <w:tab w:val="num" w:pos="5040"/>
        </w:tabs>
        <w:ind w:left="5040" w:hanging="360"/>
      </w:pPr>
      <w:rPr>
        <w:rFonts w:ascii="Times New Roman" w:hAnsi="Times New Roman" w:hint="default"/>
      </w:rPr>
    </w:lvl>
    <w:lvl w:ilvl="7" w:tplc="E4EAA79E" w:tentative="1">
      <w:start w:val="1"/>
      <w:numFmt w:val="bullet"/>
      <w:lvlText w:val="-"/>
      <w:lvlJc w:val="left"/>
      <w:pPr>
        <w:tabs>
          <w:tab w:val="num" w:pos="5760"/>
        </w:tabs>
        <w:ind w:left="5760" w:hanging="360"/>
      </w:pPr>
      <w:rPr>
        <w:rFonts w:ascii="Times New Roman" w:hAnsi="Times New Roman" w:hint="default"/>
      </w:rPr>
    </w:lvl>
    <w:lvl w:ilvl="8" w:tplc="DCD4566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4616FF8"/>
    <w:multiLevelType w:val="hybridMultilevel"/>
    <w:tmpl w:val="0FCEB8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472A3C"/>
    <w:multiLevelType w:val="hybridMultilevel"/>
    <w:tmpl w:val="0C08E438"/>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337545B4"/>
    <w:multiLevelType w:val="hybridMultilevel"/>
    <w:tmpl w:val="94CE4E80"/>
    <w:lvl w:ilvl="0" w:tplc="DF148636">
      <w:start w:val="1"/>
      <w:numFmt w:val="bullet"/>
      <w:lvlText w:val="•"/>
      <w:lvlJc w:val="left"/>
      <w:pPr>
        <w:tabs>
          <w:tab w:val="num" w:pos="720"/>
        </w:tabs>
        <w:ind w:left="720" w:hanging="360"/>
      </w:pPr>
      <w:rPr>
        <w:rFonts w:ascii="Arial" w:hAnsi="Arial" w:hint="default"/>
      </w:rPr>
    </w:lvl>
    <w:lvl w:ilvl="1" w:tplc="3A346A74" w:tentative="1">
      <w:start w:val="1"/>
      <w:numFmt w:val="bullet"/>
      <w:lvlText w:val="•"/>
      <w:lvlJc w:val="left"/>
      <w:pPr>
        <w:tabs>
          <w:tab w:val="num" w:pos="1440"/>
        </w:tabs>
        <w:ind w:left="1440" w:hanging="360"/>
      </w:pPr>
      <w:rPr>
        <w:rFonts w:ascii="Arial" w:hAnsi="Arial" w:hint="default"/>
      </w:rPr>
    </w:lvl>
    <w:lvl w:ilvl="2" w:tplc="847A9EF2" w:tentative="1">
      <w:start w:val="1"/>
      <w:numFmt w:val="bullet"/>
      <w:lvlText w:val="•"/>
      <w:lvlJc w:val="left"/>
      <w:pPr>
        <w:tabs>
          <w:tab w:val="num" w:pos="2160"/>
        </w:tabs>
        <w:ind w:left="2160" w:hanging="360"/>
      </w:pPr>
      <w:rPr>
        <w:rFonts w:ascii="Arial" w:hAnsi="Arial" w:hint="default"/>
      </w:rPr>
    </w:lvl>
    <w:lvl w:ilvl="3" w:tplc="5526218E" w:tentative="1">
      <w:start w:val="1"/>
      <w:numFmt w:val="bullet"/>
      <w:lvlText w:val="•"/>
      <w:lvlJc w:val="left"/>
      <w:pPr>
        <w:tabs>
          <w:tab w:val="num" w:pos="2880"/>
        </w:tabs>
        <w:ind w:left="2880" w:hanging="360"/>
      </w:pPr>
      <w:rPr>
        <w:rFonts w:ascii="Arial" w:hAnsi="Arial" w:hint="default"/>
      </w:rPr>
    </w:lvl>
    <w:lvl w:ilvl="4" w:tplc="A2A4014A" w:tentative="1">
      <w:start w:val="1"/>
      <w:numFmt w:val="bullet"/>
      <w:lvlText w:val="•"/>
      <w:lvlJc w:val="left"/>
      <w:pPr>
        <w:tabs>
          <w:tab w:val="num" w:pos="3600"/>
        </w:tabs>
        <w:ind w:left="3600" w:hanging="360"/>
      </w:pPr>
      <w:rPr>
        <w:rFonts w:ascii="Arial" w:hAnsi="Arial" w:hint="default"/>
      </w:rPr>
    </w:lvl>
    <w:lvl w:ilvl="5" w:tplc="BE765678" w:tentative="1">
      <w:start w:val="1"/>
      <w:numFmt w:val="bullet"/>
      <w:lvlText w:val="•"/>
      <w:lvlJc w:val="left"/>
      <w:pPr>
        <w:tabs>
          <w:tab w:val="num" w:pos="4320"/>
        </w:tabs>
        <w:ind w:left="4320" w:hanging="360"/>
      </w:pPr>
      <w:rPr>
        <w:rFonts w:ascii="Arial" w:hAnsi="Arial" w:hint="default"/>
      </w:rPr>
    </w:lvl>
    <w:lvl w:ilvl="6" w:tplc="9E8E1FC0" w:tentative="1">
      <w:start w:val="1"/>
      <w:numFmt w:val="bullet"/>
      <w:lvlText w:val="•"/>
      <w:lvlJc w:val="left"/>
      <w:pPr>
        <w:tabs>
          <w:tab w:val="num" w:pos="5040"/>
        </w:tabs>
        <w:ind w:left="5040" w:hanging="360"/>
      </w:pPr>
      <w:rPr>
        <w:rFonts w:ascii="Arial" w:hAnsi="Arial" w:hint="default"/>
      </w:rPr>
    </w:lvl>
    <w:lvl w:ilvl="7" w:tplc="6E2ACB78" w:tentative="1">
      <w:start w:val="1"/>
      <w:numFmt w:val="bullet"/>
      <w:lvlText w:val="•"/>
      <w:lvlJc w:val="left"/>
      <w:pPr>
        <w:tabs>
          <w:tab w:val="num" w:pos="5760"/>
        </w:tabs>
        <w:ind w:left="5760" w:hanging="360"/>
      </w:pPr>
      <w:rPr>
        <w:rFonts w:ascii="Arial" w:hAnsi="Arial" w:hint="default"/>
      </w:rPr>
    </w:lvl>
    <w:lvl w:ilvl="8" w:tplc="747EA2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D8556FE"/>
    <w:multiLevelType w:val="hybridMultilevel"/>
    <w:tmpl w:val="392EEC8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62813FC8"/>
    <w:multiLevelType w:val="hybridMultilevel"/>
    <w:tmpl w:val="2D0CA4CA"/>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 w15:restartNumberingAfterBreak="0">
    <w:nsid w:val="6BDD3BF7"/>
    <w:multiLevelType w:val="hybridMultilevel"/>
    <w:tmpl w:val="6ECE2C7C"/>
    <w:lvl w:ilvl="0" w:tplc="E4261504">
      <w:start w:val="1"/>
      <w:numFmt w:val="bullet"/>
      <w:lvlText w:val="•"/>
      <w:lvlJc w:val="left"/>
      <w:pPr>
        <w:tabs>
          <w:tab w:val="num" w:pos="720"/>
        </w:tabs>
        <w:ind w:left="720" w:hanging="360"/>
      </w:pPr>
      <w:rPr>
        <w:rFonts w:ascii="Arial" w:hAnsi="Arial" w:hint="default"/>
      </w:rPr>
    </w:lvl>
    <w:lvl w:ilvl="1" w:tplc="941EEAEE" w:tentative="1">
      <w:start w:val="1"/>
      <w:numFmt w:val="bullet"/>
      <w:lvlText w:val="•"/>
      <w:lvlJc w:val="left"/>
      <w:pPr>
        <w:tabs>
          <w:tab w:val="num" w:pos="1440"/>
        </w:tabs>
        <w:ind w:left="1440" w:hanging="360"/>
      </w:pPr>
      <w:rPr>
        <w:rFonts w:ascii="Arial" w:hAnsi="Arial" w:hint="default"/>
      </w:rPr>
    </w:lvl>
    <w:lvl w:ilvl="2" w:tplc="6E1E1712" w:tentative="1">
      <w:start w:val="1"/>
      <w:numFmt w:val="bullet"/>
      <w:lvlText w:val="•"/>
      <w:lvlJc w:val="left"/>
      <w:pPr>
        <w:tabs>
          <w:tab w:val="num" w:pos="2160"/>
        </w:tabs>
        <w:ind w:left="2160" w:hanging="360"/>
      </w:pPr>
      <w:rPr>
        <w:rFonts w:ascii="Arial" w:hAnsi="Arial" w:hint="default"/>
      </w:rPr>
    </w:lvl>
    <w:lvl w:ilvl="3" w:tplc="8EA4AB0C" w:tentative="1">
      <w:start w:val="1"/>
      <w:numFmt w:val="bullet"/>
      <w:lvlText w:val="•"/>
      <w:lvlJc w:val="left"/>
      <w:pPr>
        <w:tabs>
          <w:tab w:val="num" w:pos="2880"/>
        </w:tabs>
        <w:ind w:left="2880" w:hanging="360"/>
      </w:pPr>
      <w:rPr>
        <w:rFonts w:ascii="Arial" w:hAnsi="Arial" w:hint="default"/>
      </w:rPr>
    </w:lvl>
    <w:lvl w:ilvl="4" w:tplc="5A06278C" w:tentative="1">
      <w:start w:val="1"/>
      <w:numFmt w:val="bullet"/>
      <w:lvlText w:val="•"/>
      <w:lvlJc w:val="left"/>
      <w:pPr>
        <w:tabs>
          <w:tab w:val="num" w:pos="3600"/>
        </w:tabs>
        <w:ind w:left="3600" w:hanging="360"/>
      </w:pPr>
      <w:rPr>
        <w:rFonts w:ascii="Arial" w:hAnsi="Arial" w:hint="default"/>
      </w:rPr>
    </w:lvl>
    <w:lvl w:ilvl="5" w:tplc="84227AF6" w:tentative="1">
      <w:start w:val="1"/>
      <w:numFmt w:val="bullet"/>
      <w:lvlText w:val="•"/>
      <w:lvlJc w:val="left"/>
      <w:pPr>
        <w:tabs>
          <w:tab w:val="num" w:pos="4320"/>
        </w:tabs>
        <w:ind w:left="4320" w:hanging="360"/>
      </w:pPr>
      <w:rPr>
        <w:rFonts w:ascii="Arial" w:hAnsi="Arial" w:hint="default"/>
      </w:rPr>
    </w:lvl>
    <w:lvl w:ilvl="6" w:tplc="BD96CD28" w:tentative="1">
      <w:start w:val="1"/>
      <w:numFmt w:val="bullet"/>
      <w:lvlText w:val="•"/>
      <w:lvlJc w:val="left"/>
      <w:pPr>
        <w:tabs>
          <w:tab w:val="num" w:pos="5040"/>
        </w:tabs>
        <w:ind w:left="5040" w:hanging="360"/>
      </w:pPr>
      <w:rPr>
        <w:rFonts w:ascii="Arial" w:hAnsi="Arial" w:hint="default"/>
      </w:rPr>
    </w:lvl>
    <w:lvl w:ilvl="7" w:tplc="04DCC6AE" w:tentative="1">
      <w:start w:val="1"/>
      <w:numFmt w:val="bullet"/>
      <w:lvlText w:val="•"/>
      <w:lvlJc w:val="left"/>
      <w:pPr>
        <w:tabs>
          <w:tab w:val="num" w:pos="5760"/>
        </w:tabs>
        <w:ind w:left="5760" w:hanging="360"/>
      </w:pPr>
      <w:rPr>
        <w:rFonts w:ascii="Arial" w:hAnsi="Arial" w:hint="default"/>
      </w:rPr>
    </w:lvl>
    <w:lvl w:ilvl="8" w:tplc="A4AAA64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CA25E90"/>
    <w:multiLevelType w:val="hybridMultilevel"/>
    <w:tmpl w:val="E8E680D2"/>
    <w:lvl w:ilvl="0" w:tplc="55A293BC">
      <w:start w:val="1"/>
      <w:numFmt w:val="bullet"/>
      <w:lvlText w:val="-"/>
      <w:lvlJc w:val="left"/>
      <w:pPr>
        <w:tabs>
          <w:tab w:val="num" w:pos="720"/>
        </w:tabs>
        <w:ind w:left="720" w:hanging="360"/>
      </w:pPr>
      <w:rPr>
        <w:rFonts w:ascii="Times New Roman" w:hAnsi="Times New Roman" w:hint="default"/>
      </w:rPr>
    </w:lvl>
    <w:lvl w:ilvl="1" w:tplc="014ABB88" w:tentative="1">
      <w:start w:val="1"/>
      <w:numFmt w:val="bullet"/>
      <w:lvlText w:val="-"/>
      <w:lvlJc w:val="left"/>
      <w:pPr>
        <w:tabs>
          <w:tab w:val="num" w:pos="1440"/>
        </w:tabs>
        <w:ind w:left="1440" w:hanging="360"/>
      </w:pPr>
      <w:rPr>
        <w:rFonts w:ascii="Times New Roman" w:hAnsi="Times New Roman" w:hint="default"/>
      </w:rPr>
    </w:lvl>
    <w:lvl w:ilvl="2" w:tplc="E2601972" w:tentative="1">
      <w:start w:val="1"/>
      <w:numFmt w:val="bullet"/>
      <w:lvlText w:val="-"/>
      <w:lvlJc w:val="left"/>
      <w:pPr>
        <w:tabs>
          <w:tab w:val="num" w:pos="2160"/>
        </w:tabs>
        <w:ind w:left="2160" w:hanging="360"/>
      </w:pPr>
      <w:rPr>
        <w:rFonts w:ascii="Times New Roman" w:hAnsi="Times New Roman" w:hint="default"/>
      </w:rPr>
    </w:lvl>
    <w:lvl w:ilvl="3" w:tplc="A3881776" w:tentative="1">
      <w:start w:val="1"/>
      <w:numFmt w:val="bullet"/>
      <w:lvlText w:val="-"/>
      <w:lvlJc w:val="left"/>
      <w:pPr>
        <w:tabs>
          <w:tab w:val="num" w:pos="2880"/>
        </w:tabs>
        <w:ind w:left="2880" w:hanging="360"/>
      </w:pPr>
      <w:rPr>
        <w:rFonts w:ascii="Times New Roman" w:hAnsi="Times New Roman" w:hint="default"/>
      </w:rPr>
    </w:lvl>
    <w:lvl w:ilvl="4" w:tplc="83C6BBA2" w:tentative="1">
      <w:start w:val="1"/>
      <w:numFmt w:val="bullet"/>
      <w:lvlText w:val="-"/>
      <w:lvlJc w:val="left"/>
      <w:pPr>
        <w:tabs>
          <w:tab w:val="num" w:pos="3600"/>
        </w:tabs>
        <w:ind w:left="3600" w:hanging="360"/>
      </w:pPr>
      <w:rPr>
        <w:rFonts w:ascii="Times New Roman" w:hAnsi="Times New Roman" w:hint="default"/>
      </w:rPr>
    </w:lvl>
    <w:lvl w:ilvl="5" w:tplc="DB48D240" w:tentative="1">
      <w:start w:val="1"/>
      <w:numFmt w:val="bullet"/>
      <w:lvlText w:val="-"/>
      <w:lvlJc w:val="left"/>
      <w:pPr>
        <w:tabs>
          <w:tab w:val="num" w:pos="4320"/>
        </w:tabs>
        <w:ind w:left="4320" w:hanging="360"/>
      </w:pPr>
      <w:rPr>
        <w:rFonts w:ascii="Times New Roman" w:hAnsi="Times New Roman" w:hint="default"/>
      </w:rPr>
    </w:lvl>
    <w:lvl w:ilvl="6" w:tplc="97A8866A" w:tentative="1">
      <w:start w:val="1"/>
      <w:numFmt w:val="bullet"/>
      <w:lvlText w:val="-"/>
      <w:lvlJc w:val="left"/>
      <w:pPr>
        <w:tabs>
          <w:tab w:val="num" w:pos="5040"/>
        </w:tabs>
        <w:ind w:left="5040" w:hanging="360"/>
      </w:pPr>
      <w:rPr>
        <w:rFonts w:ascii="Times New Roman" w:hAnsi="Times New Roman" w:hint="default"/>
      </w:rPr>
    </w:lvl>
    <w:lvl w:ilvl="7" w:tplc="370E612C" w:tentative="1">
      <w:start w:val="1"/>
      <w:numFmt w:val="bullet"/>
      <w:lvlText w:val="-"/>
      <w:lvlJc w:val="left"/>
      <w:pPr>
        <w:tabs>
          <w:tab w:val="num" w:pos="5760"/>
        </w:tabs>
        <w:ind w:left="5760" w:hanging="360"/>
      </w:pPr>
      <w:rPr>
        <w:rFonts w:ascii="Times New Roman" w:hAnsi="Times New Roman" w:hint="default"/>
      </w:rPr>
    </w:lvl>
    <w:lvl w:ilvl="8" w:tplc="5F1AD5C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FBA01DA"/>
    <w:multiLevelType w:val="hybridMultilevel"/>
    <w:tmpl w:val="8166A938"/>
    <w:lvl w:ilvl="0" w:tplc="68E487E4">
      <w:start w:val="1"/>
      <w:numFmt w:val="bullet"/>
      <w:lvlText w:val="-"/>
      <w:lvlJc w:val="left"/>
      <w:pPr>
        <w:tabs>
          <w:tab w:val="num" w:pos="720"/>
        </w:tabs>
        <w:ind w:left="720" w:hanging="360"/>
      </w:pPr>
      <w:rPr>
        <w:rFonts w:ascii="Times New Roman" w:hAnsi="Times New Roman" w:hint="default"/>
      </w:rPr>
    </w:lvl>
    <w:lvl w:ilvl="1" w:tplc="9968B68C" w:tentative="1">
      <w:start w:val="1"/>
      <w:numFmt w:val="bullet"/>
      <w:lvlText w:val="-"/>
      <w:lvlJc w:val="left"/>
      <w:pPr>
        <w:tabs>
          <w:tab w:val="num" w:pos="1440"/>
        </w:tabs>
        <w:ind w:left="1440" w:hanging="360"/>
      </w:pPr>
      <w:rPr>
        <w:rFonts w:ascii="Times New Roman" w:hAnsi="Times New Roman" w:hint="default"/>
      </w:rPr>
    </w:lvl>
    <w:lvl w:ilvl="2" w:tplc="B2120CFA" w:tentative="1">
      <w:start w:val="1"/>
      <w:numFmt w:val="bullet"/>
      <w:lvlText w:val="-"/>
      <w:lvlJc w:val="left"/>
      <w:pPr>
        <w:tabs>
          <w:tab w:val="num" w:pos="2160"/>
        </w:tabs>
        <w:ind w:left="2160" w:hanging="360"/>
      </w:pPr>
      <w:rPr>
        <w:rFonts w:ascii="Times New Roman" w:hAnsi="Times New Roman" w:hint="default"/>
      </w:rPr>
    </w:lvl>
    <w:lvl w:ilvl="3" w:tplc="1CD0A50A" w:tentative="1">
      <w:start w:val="1"/>
      <w:numFmt w:val="bullet"/>
      <w:lvlText w:val="-"/>
      <w:lvlJc w:val="left"/>
      <w:pPr>
        <w:tabs>
          <w:tab w:val="num" w:pos="2880"/>
        </w:tabs>
        <w:ind w:left="2880" w:hanging="360"/>
      </w:pPr>
      <w:rPr>
        <w:rFonts w:ascii="Times New Roman" w:hAnsi="Times New Roman" w:hint="default"/>
      </w:rPr>
    </w:lvl>
    <w:lvl w:ilvl="4" w:tplc="E63E6EFE" w:tentative="1">
      <w:start w:val="1"/>
      <w:numFmt w:val="bullet"/>
      <w:lvlText w:val="-"/>
      <w:lvlJc w:val="left"/>
      <w:pPr>
        <w:tabs>
          <w:tab w:val="num" w:pos="3600"/>
        </w:tabs>
        <w:ind w:left="3600" w:hanging="360"/>
      </w:pPr>
      <w:rPr>
        <w:rFonts w:ascii="Times New Roman" w:hAnsi="Times New Roman" w:hint="default"/>
      </w:rPr>
    </w:lvl>
    <w:lvl w:ilvl="5" w:tplc="7262AF48" w:tentative="1">
      <w:start w:val="1"/>
      <w:numFmt w:val="bullet"/>
      <w:lvlText w:val="-"/>
      <w:lvlJc w:val="left"/>
      <w:pPr>
        <w:tabs>
          <w:tab w:val="num" w:pos="4320"/>
        </w:tabs>
        <w:ind w:left="4320" w:hanging="360"/>
      </w:pPr>
      <w:rPr>
        <w:rFonts w:ascii="Times New Roman" w:hAnsi="Times New Roman" w:hint="default"/>
      </w:rPr>
    </w:lvl>
    <w:lvl w:ilvl="6" w:tplc="EC041E6C" w:tentative="1">
      <w:start w:val="1"/>
      <w:numFmt w:val="bullet"/>
      <w:lvlText w:val="-"/>
      <w:lvlJc w:val="left"/>
      <w:pPr>
        <w:tabs>
          <w:tab w:val="num" w:pos="5040"/>
        </w:tabs>
        <w:ind w:left="5040" w:hanging="360"/>
      </w:pPr>
      <w:rPr>
        <w:rFonts w:ascii="Times New Roman" w:hAnsi="Times New Roman" w:hint="default"/>
      </w:rPr>
    </w:lvl>
    <w:lvl w:ilvl="7" w:tplc="73B4240C" w:tentative="1">
      <w:start w:val="1"/>
      <w:numFmt w:val="bullet"/>
      <w:lvlText w:val="-"/>
      <w:lvlJc w:val="left"/>
      <w:pPr>
        <w:tabs>
          <w:tab w:val="num" w:pos="5760"/>
        </w:tabs>
        <w:ind w:left="5760" w:hanging="360"/>
      </w:pPr>
      <w:rPr>
        <w:rFonts w:ascii="Times New Roman" w:hAnsi="Times New Roman" w:hint="default"/>
      </w:rPr>
    </w:lvl>
    <w:lvl w:ilvl="8" w:tplc="32DEBD4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469303E"/>
    <w:multiLevelType w:val="hybridMultilevel"/>
    <w:tmpl w:val="313E8FB6"/>
    <w:lvl w:ilvl="0" w:tplc="CE60BE2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6"/>
  </w:num>
  <w:num w:numId="5">
    <w:abstractNumId w:val="8"/>
  </w:num>
  <w:num w:numId="6">
    <w:abstractNumId w:val="4"/>
  </w:num>
  <w:num w:numId="7">
    <w:abstractNumId w:val="5"/>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61"/>
    <w:rsid w:val="0000282F"/>
    <w:rsid w:val="00027E29"/>
    <w:rsid w:val="00065526"/>
    <w:rsid w:val="000A70D0"/>
    <w:rsid w:val="000E3662"/>
    <w:rsid w:val="000E5949"/>
    <w:rsid w:val="00104255"/>
    <w:rsid w:val="00121AA3"/>
    <w:rsid w:val="001403B0"/>
    <w:rsid w:val="00147D0F"/>
    <w:rsid w:val="001A607C"/>
    <w:rsid w:val="001A787A"/>
    <w:rsid w:val="00241242"/>
    <w:rsid w:val="002622C0"/>
    <w:rsid w:val="00276D1B"/>
    <w:rsid w:val="00325B1E"/>
    <w:rsid w:val="00333F61"/>
    <w:rsid w:val="00347563"/>
    <w:rsid w:val="003725CA"/>
    <w:rsid w:val="0038070E"/>
    <w:rsid w:val="003A17C5"/>
    <w:rsid w:val="003E34A9"/>
    <w:rsid w:val="003F4220"/>
    <w:rsid w:val="00436FE3"/>
    <w:rsid w:val="004C5A7C"/>
    <w:rsid w:val="005049E7"/>
    <w:rsid w:val="005207BC"/>
    <w:rsid w:val="00536411"/>
    <w:rsid w:val="00546DAE"/>
    <w:rsid w:val="00553E7C"/>
    <w:rsid w:val="00584919"/>
    <w:rsid w:val="00596EAA"/>
    <w:rsid w:val="005C0808"/>
    <w:rsid w:val="00645FF0"/>
    <w:rsid w:val="0065009D"/>
    <w:rsid w:val="006A6525"/>
    <w:rsid w:val="006F2DFB"/>
    <w:rsid w:val="00702EFE"/>
    <w:rsid w:val="007348B5"/>
    <w:rsid w:val="00767849"/>
    <w:rsid w:val="00770CA9"/>
    <w:rsid w:val="00780A76"/>
    <w:rsid w:val="007C2A42"/>
    <w:rsid w:val="007F5A96"/>
    <w:rsid w:val="00806934"/>
    <w:rsid w:val="00811271"/>
    <w:rsid w:val="008347DB"/>
    <w:rsid w:val="00851D8D"/>
    <w:rsid w:val="00862766"/>
    <w:rsid w:val="00897D0E"/>
    <w:rsid w:val="008C0147"/>
    <w:rsid w:val="008D4F67"/>
    <w:rsid w:val="00951DE6"/>
    <w:rsid w:val="009A3CD5"/>
    <w:rsid w:val="009E11C7"/>
    <w:rsid w:val="00A448E2"/>
    <w:rsid w:val="00AD5635"/>
    <w:rsid w:val="00AE16CD"/>
    <w:rsid w:val="00AE3B18"/>
    <w:rsid w:val="00AE5E13"/>
    <w:rsid w:val="00B07E73"/>
    <w:rsid w:val="00B34955"/>
    <w:rsid w:val="00B65F65"/>
    <w:rsid w:val="00B82DEC"/>
    <w:rsid w:val="00BA349F"/>
    <w:rsid w:val="00C04FD9"/>
    <w:rsid w:val="00C13164"/>
    <w:rsid w:val="00C16C0C"/>
    <w:rsid w:val="00C35194"/>
    <w:rsid w:val="00C66323"/>
    <w:rsid w:val="00C8234B"/>
    <w:rsid w:val="00CC03DD"/>
    <w:rsid w:val="00D003ED"/>
    <w:rsid w:val="00D057D2"/>
    <w:rsid w:val="00E20A5D"/>
    <w:rsid w:val="00E22343"/>
    <w:rsid w:val="00F06F46"/>
    <w:rsid w:val="00F5455D"/>
    <w:rsid w:val="00F56644"/>
    <w:rsid w:val="00F567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706B3"/>
  <w15:docId w15:val="{0B6D0EEC-F1D9-4D42-94B8-5648716AB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97D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3F61"/>
    <w:pPr>
      <w:ind w:left="720"/>
      <w:contextualSpacing/>
    </w:pPr>
  </w:style>
  <w:style w:type="character" w:styleId="Lienhypertexte">
    <w:name w:val="Hyperlink"/>
    <w:basedOn w:val="Policepardfaut"/>
    <w:uiPriority w:val="99"/>
    <w:unhideWhenUsed/>
    <w:rsid w:val="00333F61"/>
    <w:rPr>
      <w:color w:val="0000FF" w:themeColor="hyperlink"/>
      <w:u w:val="single"/>
    </w:rPr>
  </w:style>
  <w:style w:type="character" w:styleId="Lienhypertextesuivivisit">
    <w:name w:val="FollowedHyperlink"/>
    <w:basedOn w:val="Policepardfaut"/>
    <w:uiPriority w:val="99"/>
    <w:semiHidden/>
    <w:unhideWhenUsed/>
    <w:rsid w:val="000E5949"/>
    <w:rPr>
      <w:color w:val="800080" w:themeColor="followedHyperlink"/>
      <w:u w:val="single"/>
    </w:rPr>
  </w:style>
  <w:style w:type="paragraph" w:styleId="NormalWeb">
    <w:name w:val="Normal (Web)"/>
    <w:basedOn w:val="Normal"/>
    <w:uiPriority w:val="99"/>
    <w:semiHidden/>
    <w:unhideWhenUsed/>
    <w:rsid w:val="000E366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E36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3662"/>
    <w:rPr>
      <w:rFonts w:ascii="Tahoma" w:hAnsi="Tahoma" w:cs="Tahoma"/>
      <w:sz w:val="16"/>
      <w:szCs w:val="16"/>
    </w:rPr>
  </w:style>
  <w:style w:type="paragraph" w:styleId="En-tte">
    <w:name w:val="header"/>
    <w:basedOn w:val="Normal"/>
    <w:link w:val="En-tteCar"/>
    <w:uiPriority w:val="99"/>
    <w:unhideWhenUsed/>
    <w:rsid w:val="00C66323"/>
    <w:pPr>
      <w:tabs>
        <w:tab w:val="center" w:pos="4536"/>
        <w:tab w:val="right" w:pos="9072"/>
      </w:tabs>
      <w:spacing w:after="0" w:line="240" w:lineRule="auto"/>
    </w:pPr>
  </w:style>
  <w:style w:type="character" w:customStyle="1" w:styleId="En-tteCar">
    <w:name w:val="En-tête Car"/>
    <w:basedOn w:val="Policepardfaut"/>
    <w:link w:val="En-tte"/>
    <w:uiPriority w:val="99"/>
    <w:rsid w:val="00C66323"/>
  </w:style>
  <w:style w:type="paragraph" w:styleId="Pieddepage">
    <w:name w:val="footer"/>
    <w:basedOn w:val="Normal"/>
    <w:link w:val="PieddepageCar"/>
    <w:uiPriority w:val="99"/>
    <w:unhideWhenUsed/>
    <w:rsid w:val="00C663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6323"/>
  </w:style>
  <w:style w:type="paragraph" w:customStyle="1" w:styleId="Default">
    <w:name w:val="Default"/>
    <w:rsid w:val="005C0808"/>
    <w:pPr>
      <w:autoSpaceDE w:val="0"/>
      <w:autoSpaceDN w:val="0"/>
      <w:adjustRightInd w:val="0"/>
      <w:spacing w:after="0" w:line="240" w:lineRule="auto"/>
    </w:pPr>
    <w:rPr>
      <w:rFonts w:ascii="Times LT Std" w:hAnsi="Times LT Std" w:cs="Times LT Std"/>
      <w:color w:val="000000"/>
      <w:sz w:val="24"/>
      <w:szCs w:val="24"/>
    </w:rPr>
  </w:style>
  <w:style w:type="character" w:styleId="Marquedecommentaire">
    <w:name w:val="annotation reference"/>
    <w:basedOn w:val="Policepardfaut"/>
    <w:uiPriority w:val="99"/>
    <w:semiHidden/>
    <w:unhideWhenUsed/>
    <w:rsid w:val="005C0808"/>
    <w:rPr>
      <w:sz w:val="16"/>
      <w:szCs w:val="16"/>
    </w:rPr>
  </w:style>
  <w:style w:type="paragraph" w:styleId="Commentaire">
    <w:name w:val="annotation text"/>
    <w:basedOn w:val="Normal"/>
    <w:link w:val="CommentaireCar"/>
    <w:uiPriority w:val="99"/>
    <w:semiHidden/>
    <w:unhideWhenUsed/>
    <w:rsid w:val="005C0808"/>
    <w:pPr>
      <w:spacing w:line="240" w:lineRule="auto"/>
    </w:pPr>
    <w:rPr>
      <w:sz w:val="20"/>
      <w:szCs w:val="20"/>
    </w:rPr>
  </w:style>
  <w:style w:type="character" w:customStyle="1" w:styleId="CommentaireCar">
    <w:name w:val="Commentaire Car"/>
    <w:basedOn w:val="Policepardfaut"/>
    <w:link w:val="Commentaire"/>
    <w:uiPriority w:val="99"/>
    <w:semiHidden/>
    <w:rsid w:val="005C0808"/>
    <w:rPr>
      <w:sz w:val="20"/>
      <w:szCs w:val="20"/>
    </w:rPr>
  </w:style>
  <w:style w:type="paragraph" w:styleId="Objetducommentaire">
    <w:name w:val="annotation subject"/>
    <w:basedOn w:val="Commentaire"/>
    <w:next w:val="Commentaire"/>
    <w:link w:val="ObjetducommentaireCar"/>
    <w:uiPriority w:val="99"/>
    <w:semiHidden/>
    <w:unhideWhenUsed/>
    <w:rsid w:val="005C0808"/>
    <w:rPr>
      <w:b/>
      <w:bCs/>
    </w:rPr>
  </w:style>
  <w:style w:type="character" w:customStyle="1" w:styleId="ObjetducommentaireCar">
    <w:name w:val="Objet du commentaire Car"/>
    <w:basedOn w:val="CommentaireCar"/>
    <w:link w:val="Objetducommentaire"/>
    <w:uiPriority w:val="99"/>
    <w:semiHidden/>
    <w:rsid w:val="005C0808"/>
    <w:rPr>
      <w:b/>
      <w:bCs/>
      <w:sz w:val="20"/>
      <w:szCs w:val="20"/>
    </w:rPr>
  </w:style>
  <w:style w:type="character" w:customStyle="1" w:styleId="Titre1Car">
    <w:name w:val="Titre 1 Car"/>
    <w:basedOn w:val="Policepardfaut"/>
    <w:link w:val="Titre1"/>
    <w:uiPriority w:val="9"/>
    <w:rsid w:val="00897D0E"/>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0924">
      <w:bodyDiv w:val="1"/>
      <w:marLeft w:val="0"/>
      <w:marRight w:val="0"/>
      <w:marTop w:val="0"/>
      <w:marBottom w:val="0"/>
      <w:divBdr>
        <w:top w:val="none" w:sz="0" w:space="0" w:color="auto"/>
        <w:left w:val="none" w:sz="0" w:space="0" w:color="auto"/>
        <w:bottom w:val="none" w:sz="0" w:space="0" w:color="auto"/>
        <w:right w:val="none" w:sz="0" w:space="0" w:color="auto"/>
      </w:divBdr>
    </w:div>
    <w:div w:id="200671358">
      <w:bodyDiv w:val="1"/>
      <w:marLeft w:val="0"/>
      <w:marRight w:val="0"/>
      <w:marTop w:val="0"/>
      <w:marBottom w:val="0"/>
      <w:divBdr>
        <w:top w:val="none" w:sz="0" w:space="0" w:color="auto"/>
        <w:left w:val="none" w:sz="0" w:space="0" w:color="auto"/>
        <w:bottom w:val="none" w:sz="0" w:space="0" w:color="auto"/>
        <w:right w:val="none" w:sz="0" w:space="0" w:color="auto"/>
      </w:divBdr>
    </w:div>
    <w:div w:id="289551581">
      <w:bodyDiv w:val="1"/>
      <w:marLeft w:val="0"/>
      <w:marRight w:val="0"/>
      <w:marTop w:val="0"/>
      <w:marBottom w:val="0"/>
      <w:divBdr>
        <w:top w:val="none" w:sz="0" w:space="0" w:color="auto"/>
        <w:left w:val="none" w:sz="0" w:space="0" w:color="auto"/>
        <w:bottom w:val="none" w:sz="0" w:space="0" w:color="auto"/>
        <w:right w:val="none" w:sz="0" w:space="0" w:color="auto"/>
      </w:divBdr>
    </w:div>
    <w:div w:id="538131685">
      <w:bodyDiv w:val="1"/>
      <w:marLeft w:val="0"/>
      <w:marRight w:val="0"/>
      <w:marTop w:val="0"/>
      <w:marBottom w:val="0"/>
      <w:divBdr>
        <w:top w:val="none" w:sz="0" w:space="0" w:color="auto"/>
        <w:left w:val="none" w:sz="0" w:space="0" w:color="auto"/>
        <w:bottom w:val="none" w:sz="0" w:space="0" w:color="auto"/>
        <w:right w:val="none" w:sz="0" w:space="0" w:color="auto"/>
      </w:divBdr>
    </w:div>
    <w:div w:id="723985513">
      <w:bodyDiv w:val="1"/>
      <w:marLeft w:val="0"/>
      <w:marRight w:val="0"/>
      <w:marTop w:val="0"/>
      <w:marBottom w:val="0"/>
      <w:divBdr>
        <w:top w:val="none" w:sz="0" w:space="0" w:color="auto"/>
        <w:left w:val="none" w:sz="0" w:space="0" w:color="auto"/>
        <w:bottom w:val="none" w:sz="0" w:space="0" w:color="auto"/>
        <w:right w:val="none" w:sz="0" w:space="0" w:color="auto"/>
      </w:divBdr>
    </w:div>
    <w:div w:id="751780898">
      <w:bodyDiv w:val="1"/>
      <w:marLeft w:val="0"/>
      <w:marRight w:val="0"/>
      <w:marTop w:val="0"/>
      <w:marBottom w:val="0"/>
      <w:divBdr>
        <w:top w:val="none" w:sz="0" w:space="0" w:color="auto"/>
        <w:left w:val="none" w:sz="0" w:space="0" w:color="auto"/>
        <w:bottom w:val="none" w:sz="0" w:space="0" w:color="auto"/>
        <w:right w:val="none" w:sz="0" w:space="0" w:color="auto"/>
      </w:divBdr>
      <w:divsChild>
        <w:div w:id="2138448189">
          <w:marLeft w:val="446"/>
          <w:marRight w:val="0"/>
          <w:marTop w:val="0"/>
          <w:marBottom w:val="0"/>
          <w:divBdr>
            <w:top w:val="none" w:sz="0" w:space="0" w:color="auto"/>
            <w:left w:val="none" w:sz="0" w:space="0" w:color="auto"/>
            <w:bottom w:val="none" w:sz="0" w:space="0" w:color="auto"/>
            <w:right w:val="none" w:sz="0" w:space="0" w:color="auto"/>
          </w:divBdr>
        </w:div>
      </w:divsChild>
    </w:div>
    <w:div w:id="756681934">
      <w:bodyDiv w:val="1"/>
      <w:marLeft w:val="0"/>
      <w:marRight w:val="0"/>
      <w:marTop w:val="0"/>
      <w:marBottom w:val="0"/>
      <w:divBdr>
        <w:top w:val="none" w:sz="0" w:space="0" w:color="auto"/>
        <w:left w:val="none" w:sz="0" w:space="0" w:color="auto"/>
        <w:bottom w:val="none" w:sz="0" w:space="0" w:color="auto"/>
        <w:right w:val="none" w:sz="0" w:space="0" w:color="auto"/>
      </w:divBdr>
      <w:divsChild>
        <w:div w:id="36978490">
          <w:marLeft w:val="274"/>
          <w:marRight w:val="0"/>
          <w:marTop w:val="0"/>
          <w:marBottom w:val="0"/>
          <w:divBdr>
            <w:top w:val="none" w:sz="0" w:space="0" w:color="auto"/>
            <w:left w:val="none" w:sz="0" w:space="0" w:color="auto"/>
            <w:bottom w:val="none" w:sz="0" w:space="0" w:color="auto"/>
            <w:right w:val="none" w:sz="0" w:space="0" w:color="auto"/>
          </w:divBdr>
        </w:div>
        <w:div w:id="200170600">
          <w:marLeft w:val="274"/>
          <w:marRight w:val="0"/>
          <w:marTop w:val="0"/>
          <w:marBottom w:val="0"/>
          <w:divBdr>
            <w:top w:val="none" w:sz="0" w:space="0" w:color="auto"/>
            <w:left w:val="none" w:sz="0" w:space="0" w:color="auto"/>
            <w:bottom w:val="none" w:sz="0" w:space="0" w:color="auto"/>
            <w:right w:val="none" w:sz="0" w:space="0" w:color="auto"/>
          </w:divBdr>
        </w:div>
        <w:div w:id="623197042">
          <w:marLeft w:val="274"/>
          <w:marRight w:val="0"/>
          <w:marTop w:val="0"/>
          <w:marBottom w:val="0"/>
          <w:divBdr>
            <w:top w:val="none" w:sz="0" w:space="0" w:color="auto"/>
            <w:left w:val="none" w:sz="0" w:space="0" w:color="auto"/>
            <w:bottom w:val="none" w:sz="0" w:space="0" w:color="auto"/>
            <w:right w:val="none" w:sz="0" w:space="0" w:color="auto"/>
          </w:divBdr>
        </w:div>
        <w:div w:id="1142624632">
          <w:marLeft w:val="274"/>
          <w:marRight w:val="0"/>
          <w:marTop w:val="0"/>
          <w:marBottom w:val="0"/>
          <w:divBdr>
            <w:top w:val="none" w:sz="0" w:space="0" w:color="auto"/>
            <w:left w:val="none" w:sz="0" w:space="0" w:color="auto"/>
            <w:bottom w:val="none" w:sz="0" w:space="0" w:color="auto"/>
            <w:right w:val="none" w:sz="0" w:space="0" w:color="auto"/>
          </w:divBdr>
        </w:div>
      </w:divsChild>
    </w:div>
    <w:div w:id="844563030">
      <w:bodyDiv w:val="1"/>
      <w:marLeft w:val="0"/>
      <w:marRight w:val="0"/>
      <w:marTop w:val="0"/>
      <w:marBottom w:val="0"/>
      <w:divBdr>
        <w:top w:val="none" w:sz="0" w:space="0" w:color="auto"/>
        <w:left w:val="none" w:sz="0" w:space="0" w:color="auto"/>
        <w:bottom w:val="none" w:sz="0" w:space="0" w:color="auto"/>
        <w:right w:val="none" w:sz="0" w:space="0" w:color="auto"/>
      </w:divBdr>
    </w:div>
    <w:div w:id="879048613">
      <w:bodyDiv w:val="1"/>
      <w:marLeft w:val="0"/>
      <w:marRight w:val="0"/>
      <w:marTop w:val="0"/>
      <w:marBottom w:val="0"/>
      <w:divBdr>
        <w:top w:val="none" w:sz="0" w:space="0" w:color="auto"/>
        <w:left w:val="none" w:sz="0" w:space="0" w:color="auto"/>
        <w:bottom w:val="none" w:sz="0" w:space="0" w:color="auto"/>
        <w:right w:val="none" w:sz="0" w:space="0" w:color="auto"/>
      </w:divBdr>
    </w:div>
    <w:div w:id="906770632">
      <w:bodyDiv w:val="1"/>
      <w:marLeft w:val="0"/>
      <w:marRight w:val="0"/>
      <w:marTop w:val="0"/>
      <w:marBottom w:val="0"/>
      <w:divBdr>
        <w:top w:val="none" w:sz="0" w:space="0" w:color="auto"/>
        <w:left w:val="none" w:sz="0" w:space="0" w:color="auto"/>
        <w:bottom w:val="none" w:sz="0" w:space="0" w:color="auto"/>
        <w:right w:val="none" w:sz="0" w:space="0" w:color="auto"/>
      </w:divBdr>
    </w:div>
    <w:div w:id="929386315">
      <w:bodyDiv w:val="1"/>
      <w:marLeft w:val="0"/>
      <w:marRight w:val="0"/>
      <w:marTop w:val="0"/>
      <w:marBottom w:val="0"/>
      <w:divBdr>
        <w:top w:val="none" w:sz="0" w:space="0" w:color="auto"/>
        <w:left w:val="none" w:sz="0" w:space="0" w:color="auto"/>
        <w:bottom w:val="none" w:sz="0" w:space="0" w:color="auto"/>
        <w:right w:val="none" w:sz="0" w:space="0" w:color="auto"/>
      </w:divBdr>
      <w:divsChild>
        <w:div w:id="46341019">
          <w:marLeft w:val="274"/>
          <w:marRight w:val="0"/>
          <w:marTop w:val="0"/>
          <w:marBottom w:val="0"/>
          <w:divBdr>
            <w:top w:val="none" w:sz="0" w:space="0" w:color="auto"/>
            <w:left w:val="none" w:sz="0" w:space="0" w:color="auto"/>
            <w:bottom w:val="none" w:sz="0" w:space="0" w:color="auto"/>
            <w:right w:val="none" w:sz="0" w:space="0" w:color="auto"/>
          </w:divBdr>
        </w:div>
        <w:div w:id="1752851017">
          <w:marLeft w:val="274"/>
          <w:marRight w:val="0"/>
          <w:marTop w:val="0"/>
          <w:marBottom w:val="0"/>
          <w:divBdr>
            <w:top w:val="none" w:sz="0" w:space="0" w:color="auto"/>
            <w:left w:val="none" w:sz="0" w:space="0" w:color="auto"/>
            <w:bottom w:val="none" w:sz="0" w:space="0" w:color="auto"/>
            <w:right w:val="none" w:sz="0" w:space="0" w:color="auto"/>
          </w:divBdr>
        </w:div>
        <w:div w:id="2065172939">
          <w:marLeft w:val="274"/>
          <w:marRight w:val="0"/>
          <w:marTop w:val="0"/>
          <w:marBottom w:val="0"/>
          <w:divBdr>
            <w:top w:val="none" w:sz="0" w:space="0" w:color="auto"/>
            <w:left w:val="none" w:sz="0" w:space="0" w:color="auto"/>
            <w:bottom w:val="none" w:sz="0" w:space="0" w:color="auto"/>
            <w:right w:val="none" w:sz="0" w:space="0" w:color="auto"/>
          </w:divBdr>
        </w:div>
      </w:divsChild>
    </w:div>
    <w:div w:id="932006668">
      <w:bodyDiv w:val="1"/>
      <w:marLeft w:val="0"/>
      <w:marRight w:val="0"/>
      <w:marTop w:val="0"/>
      <w:marBottom w:val="0"/>
      <w:divBdr>
        <w:top w:val="none" w:sz="0" w:space="0" w:color="auto"/>
        <w:left w:val="none" w:sz="0" w:space="0" w:color="auto"/>
        <w:bottom w:val="none" w:sz="0" w:space="0" w:color="auto"/>
        <w:right w:val="none" w:sz="0" w:space="0" w:color="auto"/>
      </w:divBdr>
    </w:div>
    <w:div w:id="1013457530">
      <w:bodyDiv w:val="1"/>
      <w:marLeft w:val="0"/>
      <w:marRight w:val="0"/>
      <w:marTop w:val="0"/>
      <w:marBottom w:val="0"/>
      <w:divBdr>
        <w:top w:val="none" w:sz="0" w:space="0" w:color="auto"/>
        <w:left w:val="none" w:sz="0" w:space="0" w:color="auto"/>
        <w:bottom w:val="none" w:sz="0" w:space="0" w:color="auto"/>
        <w:right w:val="none" w:sz="0" w:space="0" w:color="auto"/>
      </w:divBdr>
    </w:div>
    <w:div w:id="1050346404">
      <w:bodyDiv w:val="1"/>
      <w:marLeft w:val="0"/>
      <w:marRight w:val="0"/>
      <w:marTop w:val="0"/>
      <w:marBottom w:val="0"/>
      <w:divBdr>
        <w:top w:val="none" w:sz="0" w:space="0" w:color="auto"/>
        <w:left w:val="none" w:sz="0" w:space="0" w:color="auto"/>
        <w:bottom w:val="none" w:sz="0" w:space="0" w:color="auto"/>
        <w:right w:val="none" w:sz="0" w:space="0" w:color="auto"/>
      </w:divBdr>
    </w:div>
    <w:div w:id="1104614403">
      <w:bodyDiv w:val="1"/>
      <w:marLeft w:val="0"/>
      <w:marRight w:val="0"/>
      <w:marTop w:val="0"/>
      <w:marBottom w:val="0"/>
      <w:divBdr>
        <w:top w:val="none" w:sz="0" w:space="0" w:color="auto"/>
        <w:left w:val="none" w:sz="0" w:space="0" w:color="auto"/>
        <w:bottom w:val="none" w:sz="0" w:space="0" w:color="auto"/>
        <w:right w:val="none" w:sz="0" w:space="0" w:color="auto"/>
      </w:divBdr>
    </w:div>
    <w:div w:id="1199702986">
      <w:bodyDiv w:val="1"/>
      <w:marLeft w:val="0"/>
      <w:marRight w:val="0"/>
      <w:marTop w:val="0"/>
      <w:marBottom w:val="0"/>
      <w:divBdr>
        <w:top w:val="none" w:sz="0" w:space="0" w:color="auto"/>
        <w:left w:val="none" w:sz="0" w:space="0" w:color="auto"/>
        <w:bottom w:val="none" w:sz="0" w:space="0" w:color="auto"/>
        <w:right w:val="none" w:sz="0" w:space="0" w:color="auto"/>
      </w:divBdr>
    </w:div>
    <w:div w:id="1220938570">
      <w:bodyDiv w:val="1"/>
      <w:marLeft w:val="0"/>
      <w:marRight w:val="0"/>
      <w:marTop w:val="0"/>
      <w:marBottom w:val="0"/>
      <w:divBdr>
        <w:top w:val="none" w:sz="0" w:space="0" w:color="auto"/>
        <w:left w:val="none" w:sz="0" w:space="0" w:color="auto"/>
        <w:bottom w:val="none" w:sz="0" w:space="0" w:color="auto"/>
        <w:right w:val="none" w:sz="0" w:space="0" w:color="auto"/>
      </w:divBdr>
    </w:div>
    <w:div w:id="1458530559">
      <w:bodyDiv w:val="1"/>
      <w:marLeft w:val="0"/>
      <w:marRight w:val="0"/>
      <w:marTop w:val="0"/>
      <w:marBottom w:val="0"/>
      <w:divBdr>
        <w:top w:val="none" w:sz="0" w:space="0" w:color="auto"/>
        <w:left w:val="none" w:sz="0" w:space="0" w:color="auto"/>
        <w:bottom w:val="none" w:sz="0" w:space="0" w:color="auto"/>
        <w:right w:val="none" w:sz="0" w:space="0" w:color="auto"/>
      </w:divBdr>
    </w:div>
    <w:div w:id="1500852048">
      <w:bodyDiv w:val="1"/>
      <w:marLeft w:val="0"/>
      <w:marRight w:val="0"/>
      <w:marTop w:val="0"/>
      <w:marBottom w:val="0"/>
      <w:divBdr>
        <w:top w:val="none" w:sz="0" w:space="0" w:color="auto"/>
        <w:left w:val="none" w:sz="0" w:space="0" w:color="auto"/>
        <w:bottom w:val="none" w:sz="0" w:space="0" w:color="auto"/>
        <w:right w:val="none" w:sz="0" w:space="0" w:color="auto"/>
      </w:divBdr>
      <w:divsChild>
        <w:div w:id="1643347868">
          <w:marLeft w:val="274"/>
          <w:marRight w:val="0"/>
          <w:marTop w:val="0"/>
          <w:marBottom w:val="0"/>
          <w:divBdr>
            <w:top w:val="none" w:sz="0" w:space="0" w:color="auto"/>
            <w:left w:val="none" w:sz="0" w:space="0" w:color="auto"/>
            <w:bottom w:val="none" w:sz="0" w:space="0" w:color="auto"/>
            <w:right w:val="none" w:sz="0" w:space="0" w:color="auto"/>
          </w:divBdr>
        </w:div>
        <w:div w:id="1186555889">
          <w:marLeft w:val="274"/>
          <w:marRight w:val="0"/>
          <w:marTop w:val="0"/>
          <w:marBottom w:val="0"/>
          <w:divBdr>
            <w:top w:val="none" w:sz="0" w:space="0" w:color="auto"/>
            <w:left w:val="none" w:sz="0" w:space="0" w:color="auto"/>
            <w:bottom w:val="none" w:sz="0" w:space="0" w:color="auto"/>
            <w:right w:val="none" w:sz="0" w:space="0" w:color="auto"/>
          </w:divBdr>
        </w:div>
        <w:div w:id="267350687">
          <w:marLeft w:val="274"/>
          <w:marRight w:val="0"/>
          <w:marTop w:val="0"/>
          <w:marBottom w:val="0"/>
          <w:divBdr>
            <w:top w:val="none" w:sz="0" w:space="0" w:color="auto"/>
            <w:left w:val="none" w:sz="0" w:space="0" w:color="auto"/>
            <w:bottom w:val="none" w:sz="0" w:space="0" w:color="auto"/>
            <w:right w:val="none" w:sz="0" w:space="0" w:color="auto"/>
          </w:divBdr>
        </w:div>
      </w:divsChild>
    </w:div>
    <w:div w:id="1617329657">
      <w:bodyDiv w:val="1"/>
      <w:marLeft w:val="0"/>
      <w:marRight w:val="0"/>
      <w:marTop w:val="0"/>
      <w:marBottom w:val="0"/>
      <w:divBdr>
        <w:top w:val="none" w:sz="0" w:space="0" w:color="auto"/>
        <w:left w:val="none" w:sz="0" w:space="0" w:color="auto"/>
        <w:bottom w:val="none" w:sz="0" w:space="0" w:color="auto"/>
        <w:right w:val="none" w:sz="0" w:space="0" w:color="auto"/>
      </w:divBdr>
    </w:div>
    <w:div w:id="1659765297">
      <w:bodyDiv w:val="1"/>
      <w:marLeft w:val="0"/>
      <w:marRight w:val="0"/>
      <w:marTop w:val="0"/>
      <w:marBottom w:val="0"/>
      <w:divBdr>
        <w:top w:val="none" w:sz="0" w:space="0" w:color="auto"/>
        <w:left w:val="none" w:sz="0" w:space="0" w:color="auto"/>
        <w:bottom w:val="none" w:sz="0" w:space="0" w:color="auto"/>
        <w:right w:val="none" w:sz="0" w:space="0" w:color="auto"/>
      </w:divBdr>
      <w:divsChild>
        <w:div w:id="970984161">
          <w:marLeft w:val="274"/>
          <w:marRight w:val="0"/>
          <w:marTop w:val="0"/>
          <w:marBottom w:val="0"/>
          <w:divBdr>
            <w:top w:val="none" w:sz="0" w:space="0" w:color="auto"/>
            <w:left w:val="none" w:sz="0" w:space="0" w:color="auto"/>
            <w:bottom w:val="none" w:sz="0" w:space="0" w:color="auto"/>
            <w:right w:val="none" w:sz="0" w:space="0" w:color="auto"/>
          </w:divBdr>
        </w:div>
      </w:divsChild>
    </w:div>
    <w:div w:id="1664359284">
      <w:bodyDiv w:val="1"/>
      <w:marLeft w:val="0"/>
      <w:marRight w:val="0"/>
      <w:marTop w:val="0"/>
      <w:marBottom w:val="0"/>
      <w:divBdr>
        <w:top w:val="none" w:sz="0" w:space="0" w:color="auto"/>
        <w:left w:val="none" w:sz="0" w:space="0" w:color="auto"/>
        <w:bottom w:val="none" w:sz="0" w:space="0" w:color="auto"/>
        <w:right w:val="none" w:sz="0" w:space="0" w:color="auto"/>
      </w:divBdr>
    </w:div>
    <w:div w:id="1728457208">
      <w:bodyDiv w:val="1"/>
      <w:marLeft w:val="0"/>
      <w:marRight w:val="0"/>
      <w:marTop w:val="0"/>
      <w:marBottom w:val="0"/>
      <w:divBdr>
        <w:top w:val="none" w:sz="0" w:space="0" w:color="auto"/>
        <w:left w:val="none" w:sz="0" w:space="0" w:color="auto"/>
        <w:bottom w:val="none" w:sz="0" w:space="0" w:color="auto"/>
        <w:right w:val="none" w:sz="0" w:space="0" w:color="auto"/>
      </w:divBdr>
    </w:div>
    <w:div w:id="1830636486">
      <w:bodyDiv w:val="1"/>
      <w:marLeft w:val="0"/>
      <w:marRight w:val="0"/>
      <w:marTop w:val="0"/>
      <w:marBottom w:val="0"/>
      <w:divBdr>
        <w:top w:val="none" w:sz="0" w:space="0" w:color="auto"/>
        <w:left w:val="none" w:sz="0" w:space="0" w:color="auto"/>
        <w:bottom w:val="none" w:sz="0" w:space="0" w:color="auto"/>
        <w:right w:val="none" w:sz="0" w:space="0" w:color="auto"/>
      </w:divBdr>
    </w:div>
    <w:div w:id="1858155865">
      <w:bodyDiv w:val="1"/>
      <w:marLeft w:val="0"/>
      <w:marRight w:val="0"/>
      <w:marTop w:val="0"/>
      <w:marBottom w:val="0"/>
      <w:divBdr>
        <w:top w:val="none" w:sz="0" w:space="0" w:color="auto"/>
        <w:left w:val="none" w:sz="0" w:space="0" w:color="auto"/>
        <w:bottom w:val="none" w:sz="0" w:space="0" w:color="auto"/>
        <w:right w:val="none" w:sz="0" w:space="0" w:color="auto"/>
      </w:divBdr>
    </w:div>
    <w:div w:id="1876429341">
      <w:bodyDiv w:val="1"/>
      <w:marLeft w:val="0"/>
      <w:marRight w:val="0"/>
      <w:marTop w:val="0"/>
      <w:marBottom w:val="0"/>
      <w:divBdr>
        <w:top w:val="none" w:sz="0" w:space="0" w:color="auto"/>
        <w:left w:val="none" w:sz="0" w:space="0" w:color="auto"/>
        <w:bottom w:val="none" w:sz="0" w:space="0" w:color="auto"/>
        <w:right w:val="none" w:sz="0" w:space="0" w:color="auto"/>
      </w:divBdr>
    </w:div>
    <w:div w:id="1897735432">
      <w:bodyDiv w:val="1"/>
      <w:marLeft w:val="0"/>
      <w:marRight w:val="0"/>
      <w:marTop w:val="0"/>
      <w:marBottom w:val="0"/>
      <w:divBdr>
        <w:top w:val="none" w:sz="0" w:space="0" w:color="auto"/>
        <w:left w:val="none" w:sz="0" w:space="0" w:color="auto"/>
        <w:bottom w:val="none" w:sz="0" w:space="0" w:color="auto"/>
        <w:right w:val="none" w:sz="0" w:space="0" w:color="auto"/>
      </w:divBdr>
    </w:div>
    <w:div w:id="192584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actovigilance@ansm.sante.fr" TargetMode="External"/><Relationship Id="rId18" Type="http://schemas.openxmlformats.org/officeDocument/2006/relationships/hyperlink" Target="https://www.legifrance.gouv.fr/affichTexte.do?cidTexte=JORFTEXT000032967712&amp;categorieLien=id" TargetMode="External"/><Relationship Id="rId26" Type="http://schemas.openxmlformats.org/officeDocument/2006/relationships/hyperlink" Target="https://www.legifrance.gouv.fr/loda/id/JORFTEXT000043575801/2024-02-26/" TargetMode="External"/><Relationship Id="rId39" Type="http://schemas.openxmlformats.org/officeDocument/2006/relationships/hyperlink" Target="https://www.ameli.fr/paris/pharmacien/sante-prevention/cystites-depistage" TargetMode="External"/><Relationship Id="rId3" Type="http://schemas.openxmlformats.org/officeDocument/2006/relationships/styles" Target="styles.xml"/><Relationship Id="rId21" Type="http://schemas.openxmlformats.org/officeDocument/2006/relationships/hyperlink" Target="https://www.legifrance.gouv.fr/download/pdf?id=5okLaXzVFxR8uk56stYkYklqajYle0bwMRsYTZ99Ki0=" TargetMode="External"/><Relationship Id="rId34" Type="http://schemas.openxmlformats.org/officeDocument/2006/relationships/hyperlink" Target="https://www.pasteur.fr/sites/default/files/rubrique_pro_sante_publique/les_cnr/virus_des_infections_respiratoires_dont_grippe/trod-grippe-france-2017-20191030.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actovigilance@ansm.sante.fr" TargetMode="External"/><Relationship Id="rId17" Type="http://schemas.openxmlformats.org/officeDocument/2006/relationships/hyperlink" Target="https://www.legifrance.gouv.fr/affichTexte.do?cidTexte=JORFTEXT000032967712&amp;categorieLien=id" TargetMode="External"/><Relationship Id="rId25" Type="http://schemas.openxmlformats.org/officeDocument/2006/relationships/hyperlink" Target="https://www.legifrance.gouv.fr/jorf/id/JORFTEXT000048481047" TargetMode="External"/><Relationship Id="rId33" Type="http://schemas.openxmlformats.org/officeDocument/2006/relationships/hyperlink" Target="https://ansm.sante.fr/uploads/2023/10/16/20231016-controle-du-marche-trod-angine-strep-a-2023.pdf" TargetMode="External"/><Relationship Id="rId38" Type="http://schemas.openxmlformats.org/officeDocument/2006/relationships/hyperlink" Target="https://www.ameli.fr/sites/default/files/Documents/memo_bandelettes_urinaires_pharmacien_assurance-maladie.pdf" TargetMode="External"/><Relationship Id="rId2" Type="http://schemas.openxmlformats.org/officeDocument/2006/relationships/numbering" Target="numbering.xml"/><Relationship Id="rId16" Type="http://schemas.openxmlformats.org/officeDocument/2006/relationships/hyperlink" Target="https://www.legifrance.gouv.fr/affichTexte.do?cidTexte=JORFTEXT000032967712&amp;categorieLien=id" TargetMode="External"/><Relationship Id="rId20" Type="http://schemas.openxmlformats.org/officeDocument/2006/relationships/hyperlink" Target="https://www.legifrance.gouv.fr/jorf/id/JORFTEXT000043715927" TargetMode="External"/><Relationship Id="rId29" Type="http://schemas.openxmlformats.org/officeDocument/2006/relationships/hyperlink" Target="https://www.legifrance.gouv.fr/download/pdf?id=5okLaXzVFxR8uk56stYkYklqajYle0bwMRsYTZ99Ki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loda/id/JORFTEXT000043575801/2024-02-26/" TargetMode="External"/><Relationship Id="rId24" Type="http://schemas.openxmlformats.org/officeDocument/2006/relationships/hyperlink" Target="https://www.legifrance.gouv.fr/affichTexte.do?cidTexte=JORFTEXT000032967712&amp;categorieLien=id" TargetMode="External"/><Relationship Id="rId32" Type="http://schemas.openxmlformats.org/officeDocument/2006/relationships/image" Target="media/image4.png"/><Relationship Id="rId37" Type="http://schemas.openxmlformats.org/officeDocument/2006/relationships/hyperlink" Target="https://www.santepubliquefrance.fr" TargetMode="External"/><Relationship Id="rId40" Type="http://schemas.openxmlformats.org/officeDocument/2006/relationships/hyperlink" Target="https://www.has-sante.fr/jcms/p_3273496/fr/covid-19-quelle-utilite-aujourd-hui-pour-les-tests-serologiques" TargetMode="External"/><Relationship Id="rId5" Type="http://schemas.openxmlformats.org/officeDocument/2006/relationships/webSettings" Target="webSettings.xml"/><Relationship Id="rId15" Type="http://schemas.openxmlformats.org/officeDocument/2006/relationships/hyperlink" Target="https://www.legifrance.gouv.fr/affichTexte.do?cidTexte=JORFTEXT000032967712&amp;categorieLien=id" TargetMode="External"/><Relationship Id="rId23" Type="http://schemas.openxmlformats.org/officeDocument/2006/relationships/hyperlink" Target="https://www.legifrance.gouv.fr/affichTexte.do?cidTexte=JORFTEXT000032967712&amp;categorieLien=id" TargetMode="External"/><Relationship Id="rId28" Type="http://schemas.openxmlformats.org/officeDocument/2006/relationships/hyperlink" Target="http://www.cespharm.fr/fr/Prevention-sante" TargetMode="External"/><Relationship Id="rId36" Type="http://schemas.openxmlformats.org/officeDocument/2006/relationships/hyperlink" Target="https://www.pasteur.fr/sites/default/files/rubrique_pro_sante_publique/les_cnr/virus_des_infections_respiratoires_dont_grippe/trod-grippe-france-2017-20191030.pdf" TargetMode="External"/><Relationship Id="rId10" Type="http://schemas.openxmlformats.org/officeDocument/2006/relationships/hyperlink" Target="https://www.legifrance.gouv.fr/jorf/id/JORFTEXT000048481047" TargetMode="External"/><Relationship Id="rId19" Type="http://schemas.openxmlformats.org/officeDocument/2006/relationships/hyperlink" Target="https://www.legifrance.gouv.fr/affichTexte.do?cidTexte=JORFTEXT000032967712&amp;categorieLien=id"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legifrance.gouv.fr/download/pdf?id=ebGUHnb0XJ0enNWVvQwQN_67QlabZUPLYjkzpSGUbcg=" TargetMode="External"/><Relationship Id="rId14" Type="http://schemas.openxmlformats.org/officeDocument/2006/relationships/hyperlink" Target="https://www.legifrance.gouv.fr/affichTexte.do?cidTexte=JORFTEXT000032967712&amp;categorieLien=id" TargetMode="External"/><Relationship Id="rId22" Type="http://schemas.openxmlformats.org/officeDocument/2006/relationships/hyperlink" Target="https://www.legifrance.gouv.fr/affichTexte.do?cidTexte=JORFTEXT000032967712&amp;categorieLien=id" TargetMode="External"/><Relationship Id="rId27" Type="http://schemas.openxmlformats.org/officeDocument/2006/relationships/hyperlink" Target="https://contrelediabete.federationdesdiabetiques.org/le-test/" TargetMode="External"/><Relationship Id="rId30" Type="http://schemas.openxmlformats.org/officeDocument/2006/relationships/image" Target="media/image2.emf"/><Relationship Id="rId35" Type="http://schemas.openxmlformats.org/officeDocument/2006/relationships/hyperlink" Target="https://www.santepubliquefrance.fr" TargetMode="External"/><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F325B-1EA4-45EC-88F7-B93E2B368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2069</Words>
  <Characters>11385</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MANSUY, Patrick</dc:creator>
  <cp:lastModifiedBy>MANSUY, Patrick (ARS-IDF)</cp:lastModifiedBy>
  <cp:revision>3</cp:revision>
  <cp:lastPrinted>2020-11-04T08:30:00Z</cp:lastPrinted>
  <dcterms:created xsi:type="dcterms:W3CDTF">2024-02-29T15:46:00Z</dcterms:created>
  <dcterms:modified xsi:type="dcterms:W3CDTF">2024-03-01T08:09:00Z</dcterms:modified>
</cp:coreProperties>
</file>